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50"/>
        <w:pBdr/>
        <w:spacing w:after="120" w:before="120" w:line="240" w:lineRule="auto"/>
        <w:ind/>
        <w:jc w:val="center"/>
        <w:rPr>
          <w:b/>
          <w:color w:val="auto"/>
          <w:lang w:eastAsia="ru-RU"/>
        </w:rPr>
      </w:pPr>
      <w:r/>
      <w:bookmarkStart w:id="0" w:name="_Toc153194146"/>
      <w:r>
        <w:rPr>
          <w:b/>
          <w:color w:val="auto"/>
          <w:lang w:eastAsia="ru-RU"/>
        </w:rPr>
        <w:t xml:space="preserve">ІНФОРМАЦІЯ ПРО ОТРИМАННЯ ДОЗВОЛУ ДЛЯ ОЗНАЙОМЛЕННЯ З НЕЮ ГРОМАДСЬКОСТІ</w:t>
      </w:r>
      <w:bookmarkEnd w:id="0"/>
      <w:r/>
      <w:r>
        <w:rPr>
          <w:b/>
          <w:color w:val="auto"/>
          <w:lang w:eastAsia="ru-RU"/>
        </w:rPr>
      </w:r>
    </w:p>
    <w:p>
      <w:pPr>
        <w:pStyle w:val="752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1" w:name="_Toc153194147"/>
      <w:r>
        <w:rPr>
          <w:b/>
          <w:bCs/>
          <w:sz w:val="28"/>
          <w:szCs w:val="28"/>
          <w:u w:val="none"/>
          <w:lang w:val="uk-UA"/>
        </w:rPr>
        <w:t xml:space="preserve">1 Відомості щодо суб’єкта господарювання</w:t>
      </w:r>
      <w:bookmarkEnd w:id="1"/>
      <w:r/>
      <w:r>
        <w:rPr>
          <w:b/>
          <w:bCs/>
          <w:sz w:val="28"/>
          <w:szCs w:val="28"/>
          <w:u w:val="none"/>
          <w:lang w:val="uk-UA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2"/>
        <w:gridCol w:w="6335"/>
      </w:tblGrid>
      <w:tr>
        <w:trPr/>
        <w:tc>
          <w:tcPr>
            <w:shd w:val="clear" w:color="auto" w:fill="auto"/>
            <w:tcBorders/>
            <w:tcW w:w="17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Повне найменування юридичної особи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Публічне акціонерне товариство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Укрнафта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(ПАТ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Укрнафта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 юридичної особи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textDirection w:val="lrTb"/>
            <w:noWrap w:val="false"/>
          </w:tcPr>
          <w:p>
            <w:pPr>
              <w:pBdr/>
              <w:spacing w:line="26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ПАТ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Укрнафта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 w:line="26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Корецький Сергій Федорович,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 w:line="26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тел./факс: (044)5061003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 w:line="26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office@ukrnafta.com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Місцезнаходження юридичної особи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04053, м. Київ, Шевченківський район, </w:t>
            </w:r>
            <w:r>
              <w:rPr>
                <w:sz w:val="28"/>
                <w:szCs w:val="28"/>
              </w:rPr>
              <w:br/>
              <w:t xml:space="preserve">провулок Несторівський, будинок 3-5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Ідентифікаційний код юридичної особи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00135390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16"/>
        <w:gridCol w:w="631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Відокремлений підрозділ юридичної особи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8" w:type="pct"/>
            <w:textDirection w:val="lrTb"/>
            <w:noWrap w:val="false"/>
          </w:tcPr>
          <w:p>
            <w:pPr>
              <w:pBdr/>
              <w:spacing/>
              <w:ind/>
              <w:rPr>
                <w:rStyle w:val="774"/>
                <w:b w:val="0"/>
                <w:iCs/>
              </w:rPr>
            </w:pPr>
            <w:r>
              <w:rPr>
                <w:sz w:val="28"/>
                <w:szCs w:val="28"/>
              </w:rPr>
              <w:t xml:space="preserve">Нафтогазовидобувне управління «Чернігівнафтогаз» публічного акціонерного товариства «Укрнафта» </w:t>
            </w:r>
            <w:r>
              <w:rPr>
                <w:rStyle w:val="774"/>
                <w:b w:val="0"/>
                <w:iCs/>
              </w:rPr>
              <w:t xml:space="preserve"> </w:t>
            </w:r>
            <w:r>
              <w:rPr>
                <w:rStyle w:val="774"/>
                <w:b w:val="0"/>
                <w:iCs/>
              </w:rPr>
            </w:r>
          </w:p>
          <w:p>
            <w:pPr>
              <w:pBdr/>
              <w:spacing/>
              <w:ind/>
              <w:rPr/>
            </w:pPr>
            <w:r>
              <w:rPr>
                <w:rStyle w:val="774"/>
                <w:b w:val="0"/>
                <w:iCs/>
              </w:rPr>
              <w:t xml:space="preserve">(</w:t>
            </w:r>
            <w:r>
              <w:rPr>
                <w:sz w:val="28"/>
                <w:szCs w:val="28"/>
              </w:rPr>
              <w:t xml:space="preserve">НГВУ «Чернігівнафтогаз» ПАТ «Укрнафта»</w:t>
            </w:r>
            <w:r>
              <w:rPr>
                <w:rStyle w:val="774"/>
                <w:b w:val="0"/>
                <w:iCs/>
              </w:rPr>
              <w:t xml:space="preserve">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 відокремленого підрозділу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8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начальника НГВУ «Чернігівнафтогаз» ПАТ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Укрнафта» Буланцов Віталій Сергійович, </w:t>
            </w:r>
            <w:r>
              <w:rPr>
                <w:sz w:val="28"/>
                <w:szCs w:val="28"/>
              </w:rPr>
              <w:br/>
              <w:t xml:space="preserve">тел./факс 04637 3-21-98</w:t>
            </w:r>
            <w:r>
              <w:rPr>
                <w:sz w:val="28"/>
                <w:szCs w:val="28"/>
              </w:rPr>
              <w:br/>
              <w:t xml:space="preserve">e-mail: </w:t>
            </w:r>
            <w:hyperlink r:id="rId13" w:tooltip="mailto:Vitalii.Bulantsov@Ukrnafta.com" w:history="1">
              <w:r>
                <w:rPr>
                  <w:rStyle w:val="780"/>
                  <w:color w:val="auto"/>
                  <w:sz w:val="28"/>
                  <w:szCs w:val="28"/>
                </w:rPr>
                <w:t xml:space="preserve">Vitalii.Bulantsov@Ukrnafta.com</w:t>
              </w:r>
            </w:hyperlink>
            <w:r/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pct"/>
            <w:textDirection w:val="lrTb"/>
            <w:noWrap w:val="false"/>
          </w:tcPr>
          <w:p>
            <w:pPr>
              <w:pBdr/>
              <w:spacing w:line="26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Місцезнаходження відокремленого підрозділу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8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17500, Чернігівська обл., Прилуцький район, Прилуцька міська громада, м. Прилуки, вул.Вокзальна, 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Ідентифікаційний код відокремленого підрозділу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8" w:type="pct"/>
            <w:textDirection w:val="lrTb"/>
            <w:noWrap w:val="false"/>
          </w:tcPr>
          <w:p>
            <w:pPr>
              <w:pBdr/>
              <w:spacing w:before="120"/>
              <w:ind/>
              <w:rPr>
                <w:b/>
                <w:sz w:val="28"/>
                <w:szCs w:val="28"/>
              </w:rPr>
            </w:pPr>
            <w:r>
              <w:rPr>
                <w:rStyle w:val="774"/>
                <w:b w:val="0"/>
                <w:iCs/>
                <w:lang w:eastAsia="uk-UA"/>
              </w:rPr>
              <w:t xml:space="preserve">00136573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772"/>
        <w:pBdr/>
        <w:spacing/>
        <w:ind/>
        <w:jc w:val="both"/>
        <w:rPr>
          <w:b/>
          <w:bCs/>
          <w:color w:val="2e74b5" w:themeColor="accent1" w:themeShade="BF"/>
          <w:lang w:val="uk-UA"/>
        </w:rPr>
      </w:pPr>
      <w:r>
        <w:rPr>
          <w:b/>
          <w:bCs/>
          <w:color w:val="2e74b5" w:themeColor="accent1" w:themeShade="BF"/>
          <w:lang w:val="uk-UA"/>
        </w:rPr>
      </w:r>
      <w:r>
        <w:rPr>
          <w:b/>
          <w:bCs/>
          <w:color w:val="2e74b5" w:themeColor="accent1" w:themeShade="BF"/>
          <w:lang w:val="uk-UA"/>
        </w:rPr>
      </w: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3"/>
        <w:gridCol w:w="6336"/>
      </w:tblGrid>
      <w:tr>
        <w:trPr/>
        <w:tc>
          <w:tcPr>
            <w:shd w:val="clear" w:color="auto" w:fill="auto"/>
            <w:tcBorders/>
            <w:tcW w:w="1710" w:type="pct"/>
            <w:vAlign w:val="center"/>
            <w:textDirection w:val="lrTb"/>
            <w:noWrap w:val="false"/>
          </w:tcPr>
          <w:p>
            <w:pPr>
              <w:pBdr/>
              <w:spacing w:line="26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виробничого майданчика 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vAlign w:val="center"/>
            <w:textDirection w:val="lrTb"/>
            <w:noWrap w:val="false"/>
          </w:tcPr>
          <w:p>
            <w:pPr>
              <w:pBdr/>
              <w:spacing w:line="26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Прокатно-ремонтний цех експлуатаційного обладнання  (ПРЦЕО)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Місцезнаходження ви</w:t>
            </w: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  <w:t xml:space="preserve">робничого майданчика 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Чернігівська обл., м. Прилуки, </w:t>
            </w:r>
            <w:r>
              <w:rPr>
                <w:bCs/>
                <w:sz w:val="28"/>
                <w:szCs w:val="28"/>
              </w:rPr>
              <w:t xml:space="preserve">вул. </w:t>
            </w:r>
            <w:r>
              <w:rPr>
                <w:sz w:val="28"/>
                <w:szCs w:val="28"/>
              </w:rPr>
              <w:t xml:space="preserve">Дружби народів, 22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vAlign w:val="center"/>
            <w:textDirection w:val="lrTb"/>
            <w:noWrap w:val="false"/>
          </w:tcPr>
          <w:p>
            <w:pPr>
              <w:pBdr/>
              <w:spacing w:line="26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виробничого майданчика 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Група складської логістики ГСЛ (Прилуки)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Місцезнаходження ви</w:t>
            </w: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  <w:t xml:space="preserve">робничого майданчика 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Чернігівська обл., м. Прилуки, вул. Дружби народів, 28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vAlign w:val="center"/>
            <w:textDirection w:val="lrTb"/>
            <w:noWrap w:val="false"/>
          </w:tcPr>
          <w:p>
            <w:pPr>
              <w:pBdr/>
              <w:spacing w:line="26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виробничого майданчика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Автозаправна станція </w:t>
            </w:r>
            <w:r>
              <w:rPr>
                <w:sz w:val="28"/>
                <w:szCs w:val="28"/>
              </w:rPr>
              <w:t xml:space="preserve">АЗС </w:t>
            </w:r>
            <w:r>
              <w:rPr>
                <w:sz w:val="28"/>
                <w:szCs w:val="28"/>
              </w:rPr>
              <w:t xml:space="preserve">(Прилуки)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Місцезнаходження ви</w:t>
            </w: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  <w:t xml:space="preserve">робничого майданчика 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Чернігівська обл., м. Прилуки, </w:t>
            </w:r>
            <w:r>
              <w:rPr>
                <w:sz w:val="28"/>
                <w:szCs w:val="28"/>
              </w:rPr>
              <w:t xml:space="preserve">вул. Пирятинська, 137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Відповідальний за охорону навколишнього середовища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60" w:lineRule="exact"/>
              <w:ind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інженер з екологічної та радіаційної безпеки служби Е та РБ (Схід) НГВУ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Чернігівнафтогаз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ПАТ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Укрнафта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</w:t>
            </w:r>
            <w:r>
              <w:rPr>
                <w:sz w:val="28"/>
                <w:szCs w:val="28"/>
              </w:rPr>
              <w:t xml:space="preserve">ілозоп І.М. тел. 0504447526</w:t>
            </w:r>
            <w:bookmarkStart w:id="2" w:name="_GoBack"/>
            <w:r/>
            <w:bookmarkEnd w:id="2"/>
            <w:r>
              <w:rPr>
                <w:sz w:val="28"/>
                <w:szCs w:val="28"/>
              </w:rPr>
              <w:t xml:space="preserve"> Ivan.Filozop</w:t>
            </w:r>
            <w:hyperlink r:id="rId14" w:tooltip="mailto:oleksandr.palianytsia@ukrnafta.com" w:history="1">
              <w:r>
                <w:rPr>
                  <w:sz w:val="28"/>
                  <w:szCs w:val="28"/>
                </w:rPr>
                <w:t xml:space="preserve">@Ukrnafta.com</w:t>
              </w:r>
            </w:hyperlink>
            <w:r/>
            <w:r>
              <w:rPr>
                <w:color w:val="2e74b5" w:themeColor="accent1" w:themeShade="BF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</w:r>
      <w:r>
        <w:rPr>
          <w:color w:val="2e74b5" w:themeColor="accent1" w:themeShade="BF"/>
          <w:sz w:val="28"/>
          <w:szCs w:val="28"/>
        </w:rPr>
      </w:r>
    </w:p>
    <w:p>
      <w:pPr>
        <w:pStyle w:val="752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3" w:name="_Toc153194148"/>
      <w:r>
        <w:rPr>
          <w:b/>
          <w:bCs/>
          <w:sz w:val="28"/>
          <w:szCs w:val="28"/>
          <w:u w:val="none"/>
          <w:lang w:val="uk-UA"/>
        </w:rPr>
        <w:t xml:space="preserve">2</w:t>
      </w:r>
      <w:r>
        <w:rPr>
          <w:b/>
          <w:bCs/>
          <w:sz w:val="28"/>
          <w:szCs w:val="28"/>
          <w:u w:val="none"/>
          <w:lang w:val="uk-UA"/>
        </w:rPr>
        <w:t xml:space="preserve"> Відомості </w:t>
      </w:r>
      <w:r>
        <w:rPr>
          <w:b/>
          <w:bCs/>
          <w:sz w:val="28"/>
          <w:szCs w:val="28"/>
          <w:u w:val="none"/>
          <w:lang w:val="uk-UA"/>
        </w:rPr>
        <w:t xml:space="preserve">про </w:t>
      </w:r>
      <w:r>
        <w:rPr>
          <w:b/>
          <w:bCs/>
          <w:sz w:val="28"/>
          <w:szCs w:val="28"/>
          <w:u w:val="none"/>
          <w:lang w:val="uk-UA"/>
        </w:rPr>
        <w:t xml:space="preserve">наявність висновку з оцінки впливу на довкілля</w:t>
      </w:r>
      <w:bookmarkEnd w:id="3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Style w:val="772"/>
        <w:pBdr/>
        <w:spacing w:after="120" w:before="120"/>
        <w:ind w:firstLine="720"/>
        <w:rPr>
          <w:b/>
          <w:lang w:val="uk-UA"/>
        </w:rPr>
      </w:pPr>
      <w:r/>
      <w:bookmarkStart w:id="4" w:name="_Toc89254165"/>
      <w:r/>
      <w:bookmarkStart w:id="5" w:name="_Toc119570054"/>
      <w:r>
        <w:rPr>
          <w:b/>
          <w:lang w:val="uk-UA"/>
        </w:rPr>
        <w:t xml:space="preserve">Виробнича структура об’єкта, технологічні зв’язки</w:t>
      </w:r>
      <w:r>
        <w:rPr>
          <w:b/>
          <w:lang w:val="uk-UA"/>
        </w:rPr>
      </w:r>
    </w:p>
    <w:p>
      <w:pPr>
        <w:pStyle w:val="772"/>
        <w:pBdr/>
        <w:spacing w:after="120"/>
        <w:ind w:firstLine="720"/>
        <w:jc w:val="both"/>
        <w:rPr>
          <w:lang w:val="uk-UA"/>
        </w:rPr>
      </w:pPr>
      <w:r>
        <w:rPr>
          <w:lang w:val="uk-UA"/>
        </w:rPr>
        <w:t xml:space="preserve">Група складської логістики (Прилуки), прокатно-ремонтний цех експлуатаційного обладнання та </w:t>
      </w:r>
      <w:r>
        <w:rPr>
          <w:lang w:val="uk-UA"/>
        </w:rPr>
        <w:t xml:space="preserve">автозаправна станція (Прилуки) </w:t>
      </w:r>
      <w:r>
        <w:rPr>
          <w:lang w:val="uk-UA"/>
        </w:rPr>
        <w:t xml:space="preserve">НГВУ </w:t>
      </w:r>
      <w:r>
        <w:rPr>
          <w:lang w:val="uk-UA"/>
        </w:rPr>
        <w:t xml:space="preserve">«</w:t>
      </w:r>
      <w:r>
        <w:rPr>
          <w:lang w:val="uk-UA"/>
        </w:rPr>
        <w:t xml:space="preserve">Чернігівнафтогаз</w:t>
      </w:r>
      <w:r>
        <w:rPr>
          <w:lang w:val="uk-UA"/>
        </w:rPr>
        <w:t xml:space="preserve">»</w:t>
      </w:r>
      <w:r>
        <w:rPr>
          <w:lang w:val="uk-UA"/>
        </w:rPr>
        <w:t xml:space="preserve"> ПАТ </w:t>
      </w:r>
      <w:r>
        <w:rPr>
          <w:lang w:val="uk-UA"/>
        </w:rPr>
        <w:t xml:space="preserve">«</w:t>
      </w:r>
      <w:r>
        <w:rPr>
          <w:lang w:val="uk-UA"/>
        </w:rPr>
        <w:t xml:space="preserve">Укрнафта</w:t>
      </w:r>
      <w:r>
        <w:rPr>
          <w:lang w:val="uk-UA"/>
        </w:rPr>
        <w:t xml:space="preserve">»</w:t>
      </w:r>
      <w:r>
        <w:rPr>
          <w:lang w:val="uk-UA"/>
        </w:rPr>
        <w:t xml:space="preserve"> – це діюче підприємство, яке має актуальний дозвіл на викиди забруднюючих речовин. Зміни потужності, реконструкції, модернізації і розширення діяльності, які би привели до </w:t>
      </w:r>
      <w:r>
        <w:rPr>
          <w:color w:val="333333"/>
          <w:lang w:val="uk-UA"/>
        </w:rPr>
        <w:t xml:space="preserve">збільшення та/або появи нових джерел викидів в атмосферне повітря,</w:t>
      </w:r>
      <w:r>
        <w:rPr>
          <w:lang w:val="uk-UA"/>
        </w:rPr>
        <w:t xml:space="preserve"> не відбулося. Тому підприємство не проводило процедуру з оцінки впливу</w:t>
      </w:r>
      <w:r>
        <w:rPr>
          <w:lang w:val="uk-UA"/>
        </w:rPr>
        <w:t xml:space="preserve"> на довкілля згідно Закону України «Про оцінку впливу на довкілля»</w:t>
      </w:r>
      <w:r>
        <w:rPr>
          <w:lang w:val="uk-UA"/>
        </w:rPr>
        <w:t xml:space="preserve"> та  </w:t>
      </w:r>
      <w:r>
        <w:rPr>
          <w:lang w:val="uk-UA"/>
        </w:rPr>
        <w:t xml:space="preserve">«</w:t>
      </w:r>
      <w:r>
        <w:rPr>
          <w:lang w:val="uk-UA"/>
        </w:rPr>
        <w:t xml:space="preserve">Критеріїв визначення розширень і змін діяльності та об’єктів, які не підлягають оцінці впливу на довкілля</w:t>
      </w:r>
      <w:r>
        <w:rPr>
          <w:lang w:val="uk-UA"/>
        </w:rPr>
        <w:t xml:space="preserve">»</w:t>
      </w:r>
      <w:r>
        <w:rPr>
          <w:lang w:val="uk-UA"/>
        </w:rPr>
        <w:t xml:space="preserve"> (додаток 2 до </w:t>
      </w:r>
      <w:r>
        <w:rPr>
          <w:color w:val="333333"/>
          <w:shd w:val="clear" w:color="auto" w:fill="ffffff"/>
          <w:lang w:val="uk-UA"/>
        </w:rPr>
        <w:t xml:space="preserve">постанови</w:t>
      </w:r>
      <w:r>
        <w:rPr>
          <w:lang w:val="uk-UA" w:eastAsia="uk-UA"/>
        </w:rPr>
        <w:t xml:space="preserve"> Кабінету Міністрів України від 13.12.2017 № 1010</w:t>
      </w:r>
      <w:r>
        <w:rPr>
          <w:lang w:val="uk-UA"/>
        </w:rPr>
        <w:t xml:space="preserve">)</w:t>
      </w:r>
      <w:r>
        <w:rPr>
          <w:lang w:val="uk-UA"/>
        </w:rPr>
        <w:t xml:space="preserve">.</w:t>
      </w:r>
      <w:r>
        <w:rPr>
          <w:lang w:val="uk-UA"/>
        </w:rPr>
      </w:r>
    </w:p>
    <w:p>
      <w:pPr>
        <w:pStyle w:val="752"/>
        <w:pBdr/>
        <w:spacing w:after="120" w:before="240"/>
        <w:ind/>
        <w:rPr>
          <w:b/>
          <w:sz w:val="28"/>
          <w:szCs w:val="28"/>
          <w:u w:val="none"/>
          <w:lang w:val="uk-UA"/>
        </w:rPr>
      </w:pPr>
      <w:r/>
      <w:bookmarkStart w:id="6" w:name="_Toc153194149"/>
      <w:r>
        <w:rPr>
          <w:b/>
          <w:sz w:val="28"/>
          <w:szCs w:val="28"/>
          <w:u w:val="none"/>
          <w:lang w:val="uk-UA"/>
        </w:rPr>
        <w:t xml:space="preserve">3</w:t>
      </w:r>
      <w:r>
        <w:rPr>
          <w:b/>
          <w:sz w:val="28"/>
          <w:szCs w:val="28"/>
          <w:u w:val="none"/>
          <w:lang w:val="uk-UA"/>
        </w:rPr>
        <w:t xml:space="preserve"> </w:t>
      </w:r>
      <w:bookmarkEnd w:id="4"/>
      <w:r/>
      <w:bookmarkEnd w:id="5"/>
      <w:r>
        <w:rPr>
          <w:b/>
          <w:sz w:val="28"/>
          <w:szCs w:val="28"/>
          <w:u w:val="none"/>
          <w:lang w:val="uk-UA"/>
        </w:rPr>
        <w:t xml:space="preserve">Перелік та загальний опис виробництв, технологічних процесів, технологічного устаткування об'єкта</w:t>
      </w:r>
      <w:bookmarkEnd w:id="6"/>
      <w:r/>
      <w:r>
        <w:rPr>
          <w:b/>
          <w:sz w:val="28"/>
          <w:szCs w:val="28"/>
          <w:u w:val="none"/>
          <w:lang w:val="uk-UA"/>
        </w:rPr>
      </w:r>
    </w:p>
    <w:p>
      <w:pPr>
        <w:pStyle w:val="772"/>
        <w:pBdr/>
        <w:spacing w:after="120" w:before="120"/>
        <w:ind w:firstLine="720"/>
        <w:rPr>
          <w:b/>
          <w:lang w:val="uk-UA"/>
        </w:rPr>
      </w:pPr>
      <w:r>
        <w:rPr>
          <w:b/>
          <w:lang w:val="uk-UA"/>
        </w:rPr>
        <w:t xml:space="preserve">Виробнича структура об’єкта, технологічні зв’язки</w:t>
      </w:r>
      <w:r>
        <w:rPr>
          <w:b/>
          <w:lang w:val="uk-UA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Група складської логістики (Прилуки)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рокатно-ремонтний цех експлуатаційного обладнання </w:t>
      </w:r>
      <w:r>
        <w:rPr>
          <w:sz w:val="28"/>
          <w:szCs w:val="28"/>
        </w:rPr>
        <w:t xml:space="preserve">та </w:t>
      </w:r>
      <w:r>
        <w:rPr>
          <w:sz w:val="28"/>
        </w:rPr>
        <w:t xml:space="preserve">автозаправна станція (Прилуки) </w:t>
      </w:r>
      <w:r>
        <w:rPr>
          <w:sz w:val="28"/>
          <w:szCs w:val="28"/>
        </w:rPr>
        <w:t xml:space="preserve">входять до складу Нафтогазовидобувного управління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Чернігівнафтогаз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яке, в свою чергу, є структурним підрозділом  публічного акціонерного товариства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Група складської логістики (Прилуки)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рокатно-ремонтний цех експлуатаційного обладнання </w:t>
      </w:r>
      <w:r>
        <w:rPr>
          <w:sz w:val="28"/>
          <w:szCs w:val="28"/>
        </w:rPr>
        <w:t xml:space="preserve">та </w:t>
      </w:r>
      <w:r>
        <w:rPr>
          <w:sz w:val="28"/>
        </w:rPr>
        <w:t xml:space="preserve">автозаправна станція (Прилуки) </w:t>
      </w:r>
      <w:r>
        <w:rPr>
          <w:sz w:val="28"/>
          <w:szCs w:val="28"/>
        </w:rPr>
        <w:t xml:space="preserve"> призначені для обслуговування потреб публічного акціонерного товариства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72"/>
        <w:pBdr/>
        <w:spacing w:after="120" w:before="120"/>
        <w:ind w:firstLine="720"/>
        <w:rPr>
          <w:b/>
          <w:lang w:val="uk-UA"/>
        </w:rPr>
      </w:pPr>
      <w:r>
        <w:rPr>
          <w:b/>
          <w:lang w:val="uk-UA"/>
        </w:rPr>
        <w:t xml:space="preserve">Перелік видів продукції, що випускається на об’єкті</w:t>
      </w:r>
      <w:r>
        <w:rPr>
          <w:b/>
          <w:lang w:val="uk-UA"/>
        </w:rPr>
      </w:r>
    </w:p>
    <w:p>
      <w:pPr>
        <w:pBdr/>
        <w:spacing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uk-UA"/>
        </w:rPr>
        <w:t xml:space="preserve">Інформація щодо видів продукції наведена в таблиці 2.1. </w:t>
      </w:r>
      <w:r>
        <w:rPr>
          <w:bCs/>
          <w:sz w:val="28"/>
          <w:szCs w:val="28"/>
        </w:rPr>
        <w:t xml:space="preserve">згідно з додатком </w:t>
      </w:r>
      <w:r>
        <w:rPr>
          <w:bCs/>
          <w:sz w:val="28"/>
          <w:szCs w:val="28"/>
        </w:rPr>
        <w:t xml:space="preserve">2 </w:t>
      </w:r>
      <w:r>
        <w:rPr>
          <w:sz w:val="28"/>
          <w:szCs w:val="28"/>
          <w:lang w:eastAsia="uk-UA"/>
        </w:rPr>
        <w:t xml:space="preserve">до </w:t>
      </w:r>
      <w:r>
        <w:rPr>
          <w:bCs/>
          <w:sz w:val="28"/>
          <w:szCs w:val="28"/>
        </w:rPr>
        <w:t xml:space="preserve">Інструкції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[1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].</w:t>
      </w:r>
      <w:r>
        <w:rPr>
          <w:bCs/>
          <w:sz w:val="28"/>
          <w:szCs w:val="28"/>
        </w:rPr>
      </w:r>
    </w:p>
    <w:tbl>
      <w:tblPr>
        <w:tblW w:w="5038" w:type="pct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6684"/>
        <w:gridCol w:w="1860"/>
      </w:tblGrid>
      <w:tr>
        <w:trPr>
          <w:trHeight w:val="312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120"/>
              <w:ind w:firstLine="709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 xml:space="preserve">Таблиця 2.1</w:t>
            </w:r>
            <w:r>
              <w:rPr>
                <w:sz w:val="28"/>
                <w:szCs w:val="28"/>
                <w:lang w:eastAsia="uk-UA"/>
              </w:rPr>
              <w:t xml:space="preserve"> – Перелік видів продукції, що випускається на об'єкті / промисловому майданчику, у тому числі продукції переділів, що використовується у власному виробництві</w:t>
            </w:r>
            <w:r>
              <w:rPr>
                <w:sz w:val="28"/>
                <w:szCs w:val="28"/>
                <w:lang w:eastAsia="uk-UA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Порядковий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номер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Вид продукції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Річний випуск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8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Відвантажено бензину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2700 м3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Відвантажено дизпалива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3200 м3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Відвантажено масла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60 м3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автомобілів</w:t>
            </w:r>
            <w:r>
              <w:rPr>
                <w:sz w:val="22"/>
                <w:szCs w:val="22"/>
              </w:rPr>
              <w:t xml:space="preserve"> бензин</w:t>
            </w:r>
            <w:r>
              <w:rPr>
                <w:sz w:val="22"/>
                <w:szCs w:val="22"/>
              </w:rPr>
              <w:t xml:space="preserve">ом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1045 м3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автомобілів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дизпаливом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1456 м3</w:t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b/>
          <w:sz w:val="28"/>
          <w:szCs w:val="28"/>
          <w:lang w:eastAsia="ru-RU"/>
        </w:rPr>
      </w:pPr>
      <w:r>
        <w:rPr>
          <w:b/>
        </w:rPr>
        <w:br w:type="page" w:clear="all"/>
      </w:r>
      <w:r>
        <w:rPr>
          <w:b/>
          <w:sz w:val="28"/>
          <w:szCs w:val="28"/>
          <w:lang w:eastAsia="ru-RU"/>
        </w:rPr>
      </w:r>
    </w:p>
    <w:p>
      <w:pPr>
        <w:pStyle w:val="772"/>
        <w:pBdr/>
        <w:spacing w:after="120" w:before="240"/>
        <w:ind w:firstLine="720"/>
        <w:rPr>
          <w:b/>
          <w:lang w:val="uk-UA"/>
        </w:rPr>
      </w:pPr>
      <w:r>
        <w:rPr>
          <w:b/>
          <w:lang w:val="uk-UA"/>
        </w:rPr>
        <w:t xml:space="preserve">Перелік та опис виробництв</w:t>
      </w:r>
      <w:r>
        <w:rPr>
          <w:b/>
          <w:lang w:val="uk-UA"/>
        </w:rPr>
      </w:r>
    </w:p>
    <w:p>
      <w:pPr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Технологічні процеси на промислових майданчиках </w:t>
      </w:r>
      <w:r>
        <w:rPr>
          <w:sz w:val="28"/>
          <w:szCs w:val="28"/>
        </w:rPr>
        <w:t xml:space="preserve">Групи складської логістики (Прилуки)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рокатно-ремонтного цеху експлуатаційного обладнання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та АЗС (Прилуки) </w:t>
      </w:r>
      <w:r>
        <w:rPr>
          <w:bCs/>
          <w:sz w:val="28"/>
          <w:szCs w:val="28"/>
        </w:rPr>
        <w:t xml:space="preserve">НГВУ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Чернігівнафтогаз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ПАТ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Укрнафта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згідно EMEP/EEA Air Pollutant Emission Inventory Guidebook (Керівництво по інвентаризації атмосферних викидів (CORINAIR) EEA Report No 13/2019 </w:t>
      </w:r>
      <w:r>
        <w:rPr>
          <w:bCs/>
          <w:sz w:val="28"/>
          <w:szCs w:val="28"/>
        </w:rPr>
        <w:t xml:space="preserve">[22]</w:t>
      </w:r>
      <w:r>
        <w:rPr>
          <w:bCs/>
          <w:sz w:val="28"/>
          <w:szCs w:val="28"/>
        </w:rPr>
        <w:t xml:space="preserve"> наведені в таблиці.</w:t>
      </w:r>
      <w:r>
        <w:rPr>
          <w:bCs/>
          <w:sz w:val="28"/>
          <w:szCs w:val="28"/>
        </w:rPr>
      </w:r>
    </w:p>
    <w:p>
      <w:pPr>
        <w:pBdr/>
        <w:spacing w:after="120" w:before="120"/>
        <w:ind/>
        <w:jc w:val="center"/>
        <w:rPr>
          <w:bCs/>
          <w:i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Таблиця 3.1</w:t>
      </w:r>
      <w:r>
        <w:rPr>
          <w:bCs/>
          <w:sz w:val="28"/>
          <w:szCs w:val="28"/>
          <w:lang w:eastAsia="uk-UA"/>
        </w:rPr>
        <w:t xml:space="preserve"> – </w:t>
      </w:r>
      <w:r>
        <w:rPr>
          <w:bCs/>
          <w:sz w:val="28"/>
          <w:szCs w:val="28"/>
          <w:lang w:eastAsia="uk-UA"/>
        </w:rPr>
        <w:t xml:space="preserve">Код та назва виробничих та технологічних процесів</w:t>
      </w:r>
      <w:r>
        <w:rPr>
          <w:bCs/>
          <w:i/>
          <w:sz w:val="28"/>
          <w:szCs w:val="28"/>
          <w:lang w:eastAsia="uk-UA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3"/>
        <w:gridCol w:w="3195"/>
        <w:gridCol w:w="1071"/>
        <w:gridCol w:w="4278"/>
      </w:tblGrid>
      <w:tr>
        <w:trPr/>
        <w:tc>
          <w:tcPr>
            <w:tcBorders/>
            <w:tcW w:w="5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 xml:space="preserve">Код </w:t>
            </w:r>
            <w:r>
              <w:rPr>
                <w:rFonts w:eastAsia="TimesNewRomanPSMT"/>
                <w:lang w:val="en-US" w:eastAsia="uk-UA"/>
              </w:rPr>
              <w:t xml:space="preserve">NFR</w:t>
            </w:r>
            <w:r>
              <w:rPr>
                <w:rFonts w:eastAsia="TimesNewRomanPSMT"/>
                <w:lang w:eastAsia="uk-UA"/>
              </w:rPr>
              <w:t xml:space="preserve">*</w:t>
            </w:r>
            <w:r>
              <w:rPr>
                <w:rFonts w:eastAsia="TimesNewRomanPSMT"/>
                <w:lang w:eastAsia="uk-UA"/>
              </w:rPr>
            </w:r>
          </w:p>
        </w:tc>
        <w:tc>
          <w:tcPr>
            <w:tcBorders/>
            <w:tcW w:w="16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 xml:space="preserve">Назва</w:t>
            </w:r>
            <w:r>
              <w:rPr>
                <w:rFonts w:eastAsia="TimesNewRomanPSMT"/>
                <w:lang w:eastAsia="uk-UA"/>
              </w:rPr>
              <w:t xml:space="preserve"> </w:t>
            </w:r>
            <w:r>
              <w:rPr>
                <w:rFonts w:eastAsia="TimesNewRomanPSMT"/>
                <w:lang w:val="en-US" w:eastAsia="uk-UA"/>
              </w:rPr>
              <w:t xml:space="preserve">NFR</w:t>
            </w:r>
            <w:r>
              <w:rPr>
                <w:rFonts w:eastAsia="TimesNewRomanPSMT"/>
                <w:lang w:eastAsia="uk-UA"/>
              </w:rPr>
              <w:t xml:space="preserve">*</w:t>
            </w:r>
            <w:r>
              <w:rPr>
                <w:rFonts w:eastAsia="TimesNewRomanPSMT"/>
                <w:lang w:eastAsia="uk-UA"/>
              </w:rPr>
            </w:r>
          </w:p>
        </w:tc>
        <w:tc>
          <w:tcPr>
            <w:shd w:val="clear" w:color="auto" w:fill="auto"/>
            <w:tcBorders/>
            <w:tcW w:w="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 xml:space="preserve">Код </w:t>
            </w:r>
            <w:r>
              <w:rPr>
                <w:rFonts w:eastAsia="TimesNewRomanPSMT"/>
                <w:lang w:val="en-US" w:eastAsia="uk-UA"/>
              </w:rPr>
              <w:t xml:space="preserve">SNAP</w:t>
            </w:r>
            <w:r>
              <w:rPr>
                <w:rFonts w:eastAsia="TimesNewRomanPSMT"/>
                <w:lang w:eastAsia="uk-UA"/>
              </w:rPr>
              <w:t xml:space="preserve">**</w:t>
            </w:r>
            <w:r>
              <w:rPr>
                <w:rFonts w:eastAsia="TimesNewRomanPSMT"/>
                <w:lang w:eastAsia="uk-UA"/>
              </w:rPr>
            </w:r>
          </w:p>
        </w:tc>
        <w:tc>
          <w:tcPr>
            <w:shd w:val="clear" w:color="auto" w:fill="auto"/>
            <w:tcBorders/>
            <w:tcW w:w="22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 xml:space="preserve">Назва</w:t>
            </w:r>
            <w:r>
              <w:rPr>
                <w:rFonts w:eastAsia="TimesNewRomanPSMT"/>
                <w:lang w:val="en-US" w:eastAsia="uk-UA"/>
              </w:rPr>
              <w:t xml:space="preserve"> SNAP</w:t>
            </w:r>
            <w:r>
              <w:rPr>
                <w:rFonts w:eastAsia="TimesNewRomanPSMT"/>
                <w:lang w:eastAsia="uk-UA"/>
              </w:rPr>
              <w:t xml:space="preserve">**</w:t>
            </w:r>
            <w:r>
              <w:rPr>
                <w:rFonts w:eastAsia="TimesNewRomanPSMT"/>
                <w:lang w:eastAsia="uk-UA"/>
              </w:rPr>
            </w:r>
          </w:p>
        </w:tc>
      </w:tr>
      <w:tr>
        <w:trPr/>
        <w:tc>
          <w:tcPr>
            <w:tcBorders/>
            <w:tcW w:w="5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 xml:space="preserve">1</w:t>
            </w:r>
            <w:r>
              <w:rPr>
                <w:rFonts w:eastAsia="TimesNewRomanPSMT"/>
                <w:lang w:eastAsia="uk-UA"/>
              </w:rPr>
            </w:r>
          </w:p>
        </w:tc>
        <w:tc>
          <w:tcPr>
            <w:tcBorders/>
            <w:tcW w:w="16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 xml:space="preserve">2</w:t>
            </w:r>
            <w:r>
              <w:rPr>
                <w:rFonts w:eastAsia="TimesNewRomanPSMT"/>
                <w:lang w:eastAsia="uk-UA"/>
              </w:rPr>
            </w:r>
          </w:p>
        </w:tc>
        <w:tc>
          <w:tcPr>
            <w:shd w:val="clear" w:color="auto" w:fill="auto"/>
            <w:tcBorders/>
            <w:tcW w:w="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 xml:space="preserve">3</w:t>
            </w:r>
            <w:r>
              <w:rPr>
                <w:rFonts w:eastAsia="TimesNewRomanPSMT"/>
                <w:lang w:eastAsia="uk-UA"/>
              </w:rPr>
            </w:r>
          </w:p>
        </w:tc>
        <w:tc>
          <w:tcPr>
            <w:shd w:val="clear" w:color="auto" w:fill="auto"/>
            <w:tcBorders/>
            <w:tcW w:w="22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 xml:space="preserve">4</w:t>
            </w:r>
            <w:r>
              <w:rPr>
                <w:rFonts w:eastAsia="TimesNewRomanPSMT"/>
                <w:lang w:eastAsia="uk-UA"/>
              </w:rPr>
            </w:r>
          </w:p>
        </w:tc>
      </w:tr>
      <w:tr>
        <w:trPr/>
        <w:tc>
          <w:tcPr>
            <w:tcBorders/>
            <w:tcW w:w="5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val="en-US" w:eastAsia="uk-UA"/>
              </w:rPr>
              <w:t xml:space="preserve">1.A.</w:t>
            </w:r>
            <w:r>
              <w:rPr>
                <w:bCs/>
                <w:lang w:eastAsia="uk-UA"/>
              </w:rPr>
              <w:t xml:space="preserve">2</w:t>
            </w:r>
            <w:r>
              <w:rPr>
                <w:bCs/>
                <w:lang w:val="en-US" w:eastAsia="uk-UA"/>
              </w:rPr>
              <w:t xml:space="preserve">.</w:t>
            </w:r>
            <w:r>
              <w:rPr>
                <w:bCs/>
                <w:lang w:val="en-US" w:eastAsia="uk-UA"/>
              </w:rPr>
              <w:t xml:space="preserve">f</w:t>
            </w:r>
            <w:r>
              <w:rPr>
                <w:bCs/>
                <w:lang w:eastAsia="uk-UA"/>
              </w:rPr>
            </w:r>
          </w:p>
        </w:tc>
        <w:tc>
          <w:tcPr>
            <w:tcBorders/>
            <w:tcW w:w="16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Стаціонарне спалювання в промисловості та будівництві: Нерудні корисні копалини</w:t>
            </w:r>
            <w:r>
              <w:rPr>
                <w:bCs/>
                <w:lang w:eastAsia="uk-UA"/>
              </w:rPr>
            </w:r>
          </w:p>
        </w:tc>
        <w:tc>
          <w:tcPr>
            <w:shd w:val="clear" w:color="auto" w:fill="auto"/>
            <w:tcBorders/>
            <w:tcW w:w="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030103</w:t>
            </w:r>
            <w:r>
              <w:rPr>
                <w:bCs/>
                <w:lang w:eastAsia="uk-UA"/>
              </w:rPr>
            </w:r>
          </w:p>
        </w:tc>
        <w:tc>
          <w:tcPr>
            <w:shd w:val="clear" w:color="auto" w:fill="auto"/>
            <w:tcBorders/>
            <w:tcW w:w="22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Спалювання у промисловості: процеси спалювання в котлоагрегатах, газових турбінах і стаціонарних двигунах: Установки для спалювання &lt; 50МВт</w:t>
            </w:r>
            <w:r>
              <w:rPr>
                <w:bCs/>
                <w:lang w:eastAsia="uk-UA"/>
              </w:rPr>
            </w:r>
          </w:p>
        </w:tc>
      </w:tr>
      <w:tr>
        <w:trPr/>
        <w:tc>
          <w:tcPr>
            <w:tcBorders/>
            <w:tcW w:w="5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val="en-US" w:eastAsia="uk-UA"/>
              </w:rPr>
            </w:pPr>
            <w:r>
              <w:rPr>
                <w:bCs/>
                <w:lang w:val="en-US" w:eastAsia="uk-UA"/>
              </w:rPr>
              <w:t xml:space="preserve">1.B.2.a.i</w:t>
            </w:r>
            <w:r>
              <w:rPr>
                <w:bCs/>
                <w:lang w:val="en-US" w:eastAsia="uk-UA"/>
              </w:rPr>
            </w:r>
          </w:p>
        </w:tc>
        <w:tc>
          <w:tcPr>
            <w:tcBorders/>
            <w:tcW w:w="16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Неконтрольовані викиди нафти: переробка/зберігання</w:t>
            </w:r>
            <w:r>
              <w:rPr>
                <w:bCs/>
                <w:lang w:eastAsia="uk-UA"/>
              </w:rPr>
            </w:r>
          </w:p>
        </w:tc>
        <w:tc>
          <w:tcPr>
            <w:shd w:val="clear" w:color="auto" w:fill="auto"/>
            <w:tcBorders/>
            <w:tcW w:w="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040105</w:t>
            </w:r>
            <w:r>
              <w:rPr>
                <w:bCs/>
                <w:lang w:eastAsia="uk-UA"/>
              </w:rPr>
            </w:r>
          </w:p>
        </w:tc>
        <w:tc>
          <w:tcPr>
            <w:shd w:val="clear" w:color="auto" w:fill="auto"/>
            <w:tcBorders/>
            <w:tcW w:w="22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Процеси в нафтовій промисловості. Інше</w:t>
            </w:r>
            <w:r>
              <w:rPr>
                <w:bCs/>
                <w:lang w:eastAsia="uk-UA"/>
              </w:rPr>
            </w:r>
          </w:p>
        </w:tc>
      </w:tr>
      <w:tr>
        <w:trPr/>
        <w:tc>
          <w:tcPr>
            <w:tcBorders/>
            <w:tcW w:w="5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val="en-US" w:eastAsia="uk-UA"/>
              </w:rPr>
            </w:pPr>
            <w:r>
              <w:rPr>
                <w:bCs/>
                <w:lang w:val="en-US" w:eastAsia="uk-UA"/>
              </w:rPr>
              <w:t xml:space="preserve">1.B.2.a.</w:t>
            </w:r>
            <w:r>
              <w:rPr>
                <w:bCs/>
                <w:lang w:val="en-US" w:eastAsia="uk-UA"/>
              </w:rPr>
              <w:t xml:space="preserve">v</w:t>
            </w:r>
            <w:r>
              <w:rPr>
                <w:bCs/>
                <w:lang w:val="en-US" w:eastAsia="uk-UA"/>
              </w:rPr>
            </w:r>
          </w:p>
        </w:tc>
        <w:tc>
          <w:tcPr>
            <w:tcBorders/>
            <w:tcW w:w="16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Розподіл нафтопродуктів</w:t>
            </w:r>
            <w:r>
              <w:rPr>
                <w:bCs/>
                <w:lang w:eastAsia="uk-UA"/>
              </w:rPr>
            </w:r>
          </w:p>
        </w:tc>
        <w:tc>
          <w:tcPr>
            <w:shd w:val="clear" w:color="auto" w:fill="auto"/>
            <w:tcBorders/>
            <w:tcW w:w="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050503</w:t>
            </w:r>
            <w:r>
              <w:rPr>
                <w:bCs/>
                <w:lang w:eastAsia="uk-UA"/>
              </w:rPr>
            </w:r>
          </w:p>
        </w:tc>
        <w:tc>
          <w:tcPr>
            <w:shd w:val="clear" w:color="auto" w:fill="auto"/>
            <w:tcBorders/>
            <w:tcW w:w="22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Автозаправні станції (включаючи заправку машин паливом)</w:t>
            </w:r>
            <w:r>
              <w:rPr>
                <w:bCs/>
                <w:lang w:eastAsia="uk-UA"/>
              </w:rPr>
            </w:r>
          </w:p>
        </w:tc>
      </w:tr>
      <w:tr>
        <w:trPr/>
        <w:tc>
          <w:tcPr>
            <w:tcBorders/>
            <w:tcW w:w="5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val="en-US" w:eastAsia="uk-UA"/>
              </w:rPr>
            </w:pPr>
            <w:r>
              <w:rPr>
                <w:bCs/>
                <w:lang w:val="en-US" w:eastAsia="uk-UA"/>
              </w:rPr>
              <w:t xml:space="preserve">2.I</w:t>
            </w:r>
            <w:r>
              <w:rPr>
                <w:bCs/>
                <w:lang w:val="en-US" w:eastAsia="uk-UA"/>
              </w:rPr>
            </w:r>
          </w:p>
        </w:tc>
        <w:tc>
          <w:tcPr>
            <w:tcBorders/>
            <w:tcW w:w="16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Деревообробка</w:t>
            </w:r>
            <w:r>
              <w:rPr>
                <w:bCs/>
                <w:lang w:eastAsia="uk-UA"/>
              </w:rPr>
            </w:r>
          </w:p>
        </w:tc>
        <w:tc>
          <w:tcPr>
            <w:shd w:val="clear" w:color="auto" w:fill="auto"/>
            <w:tcBorders/>
            <w:tcW w:w="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040620</w:t>
            </w:r>
            <w:r>
              <w:rPr>
                <w:bCs/>
                <w:lang w:eastAsia="uk-UA"/>
              </w:rPr>
            </w:r>
          </w:p>
        </w:tc>
        <w:tc>
          <w:tcPr>
            <w:shd w:val="clear" w:color="auto" w:fill="auto"/>
            <w:tcBorders/>
            <w:tcW w:w="22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Деревообробна промисловість</w:t>
            </w:r>
            <w:r>
              <w:rPr>
                <w:bCs/>
                <w:lang w:eastAsia="uk-UA"/>
              </w:rPr>
            </w:r>
          </w:p>
        </w:tc>
      </w:tr>
      <w:tr>
        <w:trPr/>
        <w:tc>
          <w:tcPr>
            <w:tcBorders/>
            <w:tcW w:w="5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val="en-US" w:eastAsia="uk-UA"/>
              </w:rPr>
            </w:pPr>
            <w:r>
              <w:rPr>
                <w:bCs/>
                <w:lang w:val="en-US" w:eastAsia="uk-UA"/>
              </w:rPr>
              <w:t xml:space="preserve">2.C.7.d</w:t>
            </w:r>
            <w:r>
              <w:rPr>
                <w:bCs/>
                <w:lang w:val="en-US" w:eastAsia="uk-UA"/>
              </w:rPr>
            </w:r>
          </w:p>
        </w:tc>
        <w:tc>
          <w:tcPr>
            <w:tcBorders/>
            <w:tcW w:w="16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Зберігання , обробка і транс</w:t>
            </w:r>
            <w:r>
              <w:rPr>
                <w:bCs/>
                <w:lang w:eastAsia="uk-UA"/>
              </w:rPr>
              <w:t xml:space="preserve">-</w:t>
            </w:r>
            <w:r>
              <w:rPr>
                <w:bCs/>
                <w:lang w:eastAsia="uk-UA"/>
              </w:rPr>
              <w:t xml:space="preserve">портування металопродукції</w:t>
            </w:r>
            <w:r>
              <w:rPr>
                <w:bCs/>
                <w:lang w:eastAsia="uk-UA"/>
              </w:rPr>
            </w:r>
          </w:p>
        </w:tc>
        <w:tc>
          <w:tcPr>
            <w:shd w:val="clear" w:color="auto" w:fill="auto"/>
            <w:tcBorders/>
            <w:tcW w:w="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041000</w:t>
            </w:r>
            <w:r>
              <w:rPr>
                <w:bCs/>
                <w:lang w:eastAsia="uk-UA"/>
              </w:rPr>
            </w:r>
          </w:p>
        </w:tc>
        <w:tc>
          <w:tcPr>
            <w:shd w:val="clear" w:color="auto" w:fill="auto"/>
            <w:tcBorders/>
            <w:tcW w:w="22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Зберігання , обробка і транспортування металопродукції</w:t>
            </w:r>
            <w:r>
              <w:rPr>
                <w:bCs/>
                <w:lang w:eastAsia="uk-UA"/>
              </w:rPr>
            </w:r>
          </w:p>
        </w:tc>
      </w:tr>
    </w:tbl>
    <w:p>
      <w:pPr>
        <w:pBdr/>
        <w:spacing/>
        <w:ind/>
        <w:jc w:val="both"/>
        <w:rPr>
          <w:rFonts w:eastAsia="TimesNewRomanPSMT"/>
          <w:lang w:eastAsia="uk-UA"/>
        </w:rPr>
      </w:pPr>
      <w:r>
        <w:rPr>
          <w:rFonts w:eastAsia="TimesNewRomanPSMT"/>
          <w:lang w:eastAsia="uk-UA"/>
        </w:rPr>
        <w:t xml:space="preserve">Примітк</w:t>
      </w:r>
      <w:r>
        <w:rPr>
          <w:rFonts w:eastAsia="TimesNewRomanPSMT"/>
          <w:lang w:eastAsia="uk-UA"/>
        </w:rPr>
        <w:t xml:space="preserve">и</w:t>
      </w:r>
      <w:r>
        <w:rPr>
          <w:rFonts w:eastAsia="TimesNewRomanPSMT"/>
          <w:lang w:eastAsia="uk-UA"/>
        </w:rPr>
        <w:t xml:space="preserve">:</w:t>
      </w:r>
      <w:r>
        <w:rPr>
          <w:rFonts w:eastAsia="TimesNewRomanPSMT"/>
          <w:lang w:eastAsia="uk-UA"/>
        </w:rPr>
      </w:r>
    </w:p>
    <w:p>
      <w:pPr>
        <w:pBdr/>
        <w:spacing/>
        <w:ind/>
        <w:jc w:val="both"/>
        <w:rPr>
          <w:rFonts w:eastAsia="TimesNewRomanPSMT"/>
          <w:lang w:eastAsia="uk-UA"/>
        </w:rPr>
      </w:pPr>
      <w:r>
        <w:rPr>
          <w:rFonts w:eastAsia="TimesNewRomanPSMT"/>
          <w:lang w:eastAsia="uk-UA"/>
        </w:rPr>
        <w:t xml:space="preserve">*</w:t>
      </w:r>
      <w:r>
        <w:rPr>
          <w:rFonts w:eastAsia="TimesNewRomanPSMT"/>
          <w:lang w:eastAsia="uk-UA"/>
        </w:rPr>
        <w:t xml:space="preserve">NFR </w:t>
      </w:r>
      <w:r>
        <w:rPr>
          <w:rFonts w:eastAsia="TimesNewRomanPSMT"/>
          <w:lang w:eastAsia="uk-UA"/>
        </w:rPr>
        <w:t xml:space="preserve">–</w:t>
      </w:r>
      <w:r>
        <w:rPr>
          <w:rFonts w:eastAsia="TimesNewRomanPSMT"/>
          <w:lang w:eastAsia="uk-UA"/>
        </w:rPr>
        <w:t xml:space="preserve">Nomenclature for Reporting </w:t>
      </w:r>
      <w:r>
        <w:rPr>
          <w:rFonts w:eastAsia="TimesNewRomanPSMT"/>
          <w:lang w:eastAsia="uk-UA"/>
        </w:rPr>
        <w:t xml:space="preserve">(</w:t>
      </w:r>
      <w:r>
        <w:rPr>
          <w:rFonts w:eastAsia="TimesNewRomanPSMT"/>
          <w:lang w:eastAsia="uk-UA"/>
        </w:rPr>
        <w:t xml:space="preserve">Номенклатура звітності</w:t>
      </w:r>
      <w:r>
        <w:rPr>
          <w:rFonts w:eastAsia="TimesNewRomanPSMT"/>
          <w:lang w:eastAsia="uk-UA"/>
        </w:rPr>
        <w:t xml:space="preserve">)</w:t>
      </w:r>
      <w:r>
        <w:rPr>
          <w:rFonts w:eastAsia="TimesNewRomanPSMT"/>
          <w:lang w:eastAsia="uk-UA"/>
        </w:rPr>
      </w:r>
    </w:p>
    <w:p>
      <w:pPr>
        <w:pBdr/>
        <w:spacing/>
        <w:ind/>
        <w:jc w:val="both"/>
        <w:rPr>
          <w:rFonts w:eastAsia="TimesNewRomanPSMT"/>
          <w:lang w:eastAsia="uk-UA"/>
        </w:rPr>
      </w:pPr>
      <w:r>
        <w:rPr>
          <w:rFonts w:eastAsia="TimesNewRomanPSMT"/>
          <w:lang w:eastAsia="uk-UA"/>
        </w:rPr>
        <w:t xml:space="preserve">**SNAP– </w:t>
      </w:r>
      <w:r>
        <w:rPr>
          <w:rFonts w:eastAsia="TimesNewRomanPSMT"/>
          <w:lang w:eastAsia="uk-UA"/>
        </w:rPr>
        <w:t xml:space="preserve">Selected Nomenclature for Air Pollution </w:t>
      </w:r>
      <w:r>
        <w:rPr>
          <w:rFonts w:eastAsia="TimesNewRomanPSMT"/>
          <w:lang w:eastAsia="uk-UA"/>
        </w:rPr>
        <w:t xml:space="preserve">(</w:t>
      </w:r>
      <w:r>
        <w:rPr>
          <w:rFonts w:eastAsia="TimesNewRomanPSMT"/>
          <w:lang w:eastAsia="uk-UA"/>
        </w:rPr>
        <w:t xml:space="preserve">Вибрана номенклатура забруднення повітря</w:t>
      </w:r>
      <w:r>
        <w:rPr>
          <w:rFonts w:eastAsia="TimesNewRomanPSMT"/>
          <w:lang w:eastAsia="uk-UA"/>
        </w:rPr>
        <w:t xml:space="preserve">)</w:t>
      </w:r>
      <w:r>
        <w:rPr>
          <w:rFonts w:eastAsia="TimesNewRomanPSMT"/>
          <w:lang w:eastAsia="uk-UA"/>
        </w:rPr>
        <w:t xml:space="preserve">.</w:t>
      </w:r>
      <w:r>
        <w:rPr>
          <w:rFonts w:eastAsia="TimesNewRomanPSMT"/>
          <w:lang w:eastAsia="uk-UA"/>
        </w:rPr>
      </w:r>
    </w:p>
    <w:p>
      <w:pPr>
        <w:pBdr/>
        <w:spacing/>
        <w:ind/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</w:r>
      <w:r>
        <w:rPr>
          <w:bCs/>
          <w:sz w:val="28"/>
          <w:szCs w:val="28"/>
          <w:lang w:eastAsia="uk-UA"/>
        </w:rPr>
      </w:r>
    </w:p>
    <w:p>
      <w:pPr>
        <w:pStyle w:val="778"/>
        <w:pBdr/>
        <w:spacing w:line="24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Прокатно-ремонтний цех експлуатаційного обладнання ПРЦЕО</w:t>
      </w:r>
      <w:r>
        <w:rPr>
          <w:sz w:val="28"/>
          <w:szCs w:val="28"/>
          <w:u w:val="single"/>
        </w:rPr>
      </w:r>
    </w:p>
    <w:p>
      <w:pPr>
        <w:pStyle w:val="778"/>
        <w:pBdr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території ПРЦЕО розміщена котельня. </w:t>
      </w:r>
      <w:r>
        <w:rPr>
          <w:sz w:val="28"/>
          <w:szCs w:val="28"/>
        </w:rPr>
        <w:t xml:space="preserve">Котельня призначена для тепловиробництва та гарячого водопостачання. В котельні встановлено чотири котли: </w:t>
      </w:r>
      <w:r>
        <w:rPr>
          <w:sz w:val="28"/>
          <w:szCs w:val="28"/>
        </w:rPr>
        <w:t xml:space="preserve">два робочих («Термакс» та КСВа-3,15-Ге «ЭКО») та два резервних </w:t>
      </w:r>
      <w:r>
        <w:rPr>
          <w:sz w:val="28"/>
          <w:szCs w:val="28"/>
        </w:rPr>
        <w:br/>
        <w:t xml:space="preserve">(Е-1,0/0,9 – 2 шт.)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Продукти згоряння виводяться в дві димові труби (</w:t>
      </w:r>
      <w:r>
        <w:rPr>
          <w:i/>
          <w:sz w:val="28"/>
          <w:szCs w:val="28"/>
        </w:rPr>
        <w:t xml:space="preserve">джерело №№ 1, 2</w:t>
      </w:r>
      <w:r>
        <w:rPr>
          <w:sz w:val="28"/>
          <w:szCs w:val="28"/>
        </w:rPr>
        <w:t xml:space="preserve">). В котлах в якості палива використовується природний газ, що відповідає вимогам </w:t>
      </w:r>
      <w:r>
        <w:rPr>
          <w:sz w:val="28"/>
          <w:szCs w:val="28"/>
          <w:shd w:val="clear" w:color="auto" w:fill="ffffff"/>
        </w:rPr>
        <w:t xml:space="preserve">ТУ У 320.001.58764-033-2000 </w:t>
      </w:r>
      <w:r>
        <w:rPr>
          <w:sz w:val="28"/>
          <w:szCs w:val="28"/>
          <w:shd w:val="clear" w:color="auto" w:fill="ffffff"/>
        </w:rPr>
        <w:t xml:space="preserve">«</w:t>
      </w:r>
      <w:r>
        <w:rPr>
          <w:sz w:val="28"/>
          <w:szCs w:val="28"/>
          <w:shd w:val="clear" w:color="auto" w:fill="ffffff"/>
        </w:rPr>
        <w:t xml:space="preserve">Гази горючі природні родовищ України для промислового та комунально-побутового призначення</w:t>
      </w:r>
      <w:r>
        <w:rPr>
          <w:sz w:val="28"/>
          <w:szCs w:val="28"/>
          <w:shd w:val="clear" w:color="auto" w:fill="ffffff"/>
        </w:rPr>
        <w:t xml:space="preserve">»</w:t>
      </w:r>
      <w:r>
        <w:rPr>
          <w:sz w:val="28"/>
          <w:szCs w:val="28"/>
        </w:rPr>
        <w:t xml:space="preserve">. Відвід продуктів згоряння з кожного котла здійснюється природньо через газохід за допомогою природньої тяги. Висота димових труб 33 метри і діаметр 0,6 м, для забезпечення розсіювання шкідливих речовин.</w:t>
      </w:r>
      <w:r>
        <w:rPr>
          <w:sz w:val="28"/>
          <w:szCs w:val="28"/>
        </w:rPr>
      </w:r>
    </w:p>
    <w:p>
      <w:pPr>
        <w:pStyle w:val="778"/>
        <w:pBdr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Котел (генератор гарячої води)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Термакс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 номінальною теплопродуктивністю 3,5 МВт; робоча теплопродуктивність 0,672 –1,544 Гкал/год; витрата газу котлом при стандартних умовах 122 – 267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/год; ккд котла (брутто) 67,27 – 70,62 %.</w:t>
      </w:r>
      <w:r>
        <w:rPr>
          <w:sz w:val="28"/>
          <w:szCs w:val="28"/>
        </w:rPr>
      </w:r>
    </w:p>
    <w:p>
      <w:pPr>
        <w:pStyle w:val="778"/>
        <w:pBdr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Котел КСВа-3,15-Гс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ЭКО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 номінальною теплопродуктивністю 3,15 МВт; робоча теплопродуктивність 0,696 –1,71 Гкал/год; витрата газу котлом при стандартних умовах 89 – 223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/год; ккд котла (брутто) 83,99 – 84,53 %.</w:t>
      </w:r>
      <w:r>
        <w:rPr>
          <w:sz w:val="28"/>
          <w:szCs w:val="28"/>
        </w:rPr>
      </w:r>
    </w:p>
    <w:p>
      <w:pPr>
        <w:pStyle w:val="778"/>
        <w:pBdr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Котел Е-1,0/0,9 (паровий) ст. № 1 з номінальною паропродуктивністю 1 т/год;  паровиробництво котла 0,417 – 0,691 т/год; розрахункова витрата палива </w:t>
      </w:r>
      <w:r>
        <w:rPr>
          <w:sz w:val="28"/>
          <w:szCs w:val="28"/>
        </w:rPr>
        <w:t xml:space="preserve">83,5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/год; робоча витрата газу котлом при стандартних умовах 38,2 – 63,4 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/год; ккд котла (брутто) 92,02 – 91,65 %.</w:t>
      </w:r>
      <w:r>
        <w:rPr>
          <w:sz w:val="28"/>
          <w:szCs w:val="28"/>
        </w:rPr>
      </w:r>
    </w:p>
    <w:p>
      <w:pPr>
        <w:pStyle w:val="778"/>
        <w:pBdr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Котел Е-1,0/0,9 (водогрійний) ст. № 2 з номінальною паропродуктивністю 1 т/год;; паровиробництво котла 0,403 – 0,498 Гкал/год; розрахункова витрата палива 83,5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/год; робоча витрата газу котлом при стандартних умовах 54,1 – 67,1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/год; ккд котла (брутто) 92,02 – 91,65 %.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Шафний газорозподільний пункт ШГРП (</w:t>
      </w:r>
      <w:r>
        <w:rPr>
          <w:i/>
          <w:sz w:val="28"/>
          <w:szCs w:val="28"/>
        </w:rPr>
        <w:t xml:space="preserve">джерело №№ 3, 4</w:t>
      </w:r>
      <w:r>
        <w:rPr>
          <w:sz w:val="28"/>
          <w:szCs w:val="28"/>
        </w:rPr>
        <w:t xml:space="preserve">) – комплекс обладнання для зниження тиску газу і підтримання його на заданому рівні. Газорегуляторний пункт обладнаний свічою. Свіча представляє собою трубопровід, при</w:t>
      </w:r>
      <w:r>
        <w:rPr>
          <w:sz w:val="28"/>
          <w:szCs w:val="28"/>
        </w:rPr>
        <w:t xml:space="preserve">значений для продування та скидання в атмосферу з ділянок зовнішніх та внутрішніх газопроводів газу, повітря, інертного газу після продування, випробувань на герметичність та міцність, при заповненні ділянок газом (пуск газу), ремонті, консервації або трив</w:t>
      </w:r>
      <w:r>
        <w:rPr>
          <w:sz w:val="28"/>
          <w:szCs w:val="28"/>
        </w:rPr>
        <w:t xml:space="preserve">алій перерві в подачі по них газу. Продувний трубопровід виведений назовні на висоту 3,5 м для  забезпечення безпечних умов для розсіювання газу. Викиди забруднюючих речовин від свічі газорегуляторного пункту відносяться до виробничо-технологічних витрат. 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промисловому майданчику </w:t>
      </w:r>
      <w:r>
        <w:rPr>
          <w:sz w:val="28"/>
          <w:szCs w:val="28"/>
        </w:rPr>
        <w:t xml:space="preserve">ПРЦЕО</w:t>
      </w:r>
      <w:r>
        <w:rPr>
          <w:sz w:val="28"/>
          <w:szCs w:val="28"/>
        </w:rPr>
        <w:t xml:space="preserve"> проводиться ремонт і обслуговування нафтовидобувного обладнання. На території розташовані ремонтні та спеціалізовані дільниці для проведення ремонту та технічного обслуговування: кузня, зварювальне відділення, заточне відділення, пости газорізки.</w:t>
      </w:r>
      <w:r>
        <w:rPr>
          <w:sz w:val="28"/>
          <w:szCs w:val="28"/>
        </w:rPr>
      </w:r>
    </w:p>
    <w:p>
      <w:pPr>
        <w:pStyle w:val="807"/>
        <w:widowControl w:val="false"/>
        <w:pBdr/>
        <w:spacing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Ковальське горно призначене для термічної обробки металічних виробів і працює н</w:t>
      </w:r>
      <w:r>
        <w:rPr>
          <w:sz w:val="28"/>
          <w:szCs w:val="28"/>
        </w:rPr>
        <w:t xml:space="preserve">а вугіллі, продукти згоряння якого виводяться в димову трубу (джерело № 5). В кузні використовують  вугілля, що відповідає  ДСТУ 3472:2015, в кількості 2 т/рік. Висота димової труби 10 метрів і діаметр 0,3 м, для забезпечення розсіювання шкідливих речовин.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Заточний верстат призначений для заточки інструменту (</w:t>
      </w:r>
      <w:r>
        <w:rPr>
          <w:i/>
          <w:sz w:val="28"/>
          <w:szCs w:val="28"/>
        </w:rPr>
        <w:t xml:space="preserve">джерело № 6</w:t>
      </w:r>
      <w:r>
        <w:rPr>
          <w:sz w:val="28"/>
          <w:szCs w:val="28"/>
        </w:rPr>
        <w:t xml:space="preserve">), викид від якого виводиться назовні.  При роботі використовуються абразивні круги діаметром 350 мм згідно ДСТУ ISO 603-7:2019. Заточувальний верстат оснащений пристроєм для відсмоктування пилу. Кількість робочих годин протягом року – 504.</w:t>
      </w:r>
      <w:r>
        <w:rPr>
          <w:sz w:val="28"/>
          <w:szCs w:val="28"/>
        </w:rPr>
      </w:r>
    </w:p>
    <w:p>
      <w:pPr>
        <w:pStyle w:val="807"/>
        <w:pBdr/>
        <w:spacing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зварювальних постах </w:t>
      </w:r>
      <w:r>
        <w:rPr>
          <w:i/>
          <w:sz w:val="28"/>
          <w:szCs w:val="28"/>
        </w:rPr>
        <w:t xml:space="preserve">(джерело №№ 7, 8, 9)</w:t>
      </w:r>
      <w:r>
        <w:rPr>
          <w:sz w:val="28"/>
          <w:szCs w:val="28"/>
        </w:rPr>
        <w:t xml:space="preserve"> виконується зварюва</w:t>
      </w:r>
      <w:r>
        <w:rPr>
          <w:sz w:val="28"/>
          <w:szCs w:val="28"/>
        </w:rPr>
        <w:t xml:space="preserve">ння з використання електродів УОНИ-13/55, АНО-4 Для зварювання використовуються електроди марки УОНИ 13/55, що відповідають ТУ У 05416923.015-96, в кількості 156 кг/рік та електроди марки АНО-4, що відповідають ТУУ 05416923.001-95, в кількості 204 кг/рік. </w:t>
      </w:r>
      <w:r>
        <w:rPr>
          <w:sz w:val="28"/>
          <w:szCs w:val="28"/>
        </w:rPr>
      </w:r>
    </w:p>
    <w:p>
      <w:pPr>
        <w:pStyle w:val="807"/>
        <w:pBdr/>
        <w:spacing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пості газової різки </w:t>
      </w:r>
      <w:r>
        <w:rPr>
          <w:i/>
          <w:sz w:val="28"/>
          <w:szCs w:val="28"/>
        </w:rPr>
        <w:t xml:space="preserve">(джерело № 10) </w:t>
      </w:r>
      <w:r>
        <w:rPr>
          <w:sz w:val="28"/>
          <w:szCs w:val="28"/>
        </w:rPr>
        <w:t xml:space="preserve">проводиться газове різання металевих виробів з максимальною товщиною різання металу 90 мм, кількість робочих годин протягом року – 504.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Група складської логістики ГСЛ (Прилуки)</w:t>
      </w:r>
      <w:r>
        <w:rPr>
          <w:sz w:val="28"/>
          <w:szCs w:val="28"/>
          <w:u w:val="single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Група складської логістики ГСЛ (Прилук</w:t>
      </w:r>
      <w:r>
        <w:rPr>
          <w:sz w:val="28"/>
          <w:szCs w:val="28"/>
        </w:rPr>
        <w:t xml:space="preserve">и)  призначена для прийому, зберігання та відпуску товаро-матеріальних цінностей в тому числі паливомастильних матеріалів (ПММ). Для виконання функцій по забезпеченню паливно-мастильними матеріалами та хімреагентами є склади нафтопродуктів та хімреагентів.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ГСЛ розташовані ремонтні та спеціалізовані дільниці для проведення ремонту, технічного обслуговування транспортних засобів.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ГСЛ знаходиться акумуляторна, де відбувається підзарядка акумуляторів </w:t>
      </w:r>
      <w:r>
        <w:rPr>
          <w:i/>
          <w:sz w:val="28"/>
          <w:szCs w:val="28"/>
        </w:rPr>
        <w:t xml:space="preserve">(джерело № 11).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07"/>
        <w:pBdr/>
        <w:spacing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зварювальному пості </w:t>
      </w:r>
      <w:r>
        <w:rPr>
          <w:i/>
          <w:sz w:val="28"/>
          <w:szCs w:val="28"/>
        </w:rPr>
        <w:t xml:space="preserve">(джерело № 12)</w:t>
      </w:r>
      <w:r>
        <w:rPr>
          <w:sz w:val="28"/>
          <w:szCs w:val="28"/>
        </w:rPr>
        <w:t xml:space="preserve"> виконується зварюв</w:t>
      </w:r>
      <w:r>
        <w:rPr>
          <w:sz w:val="28"/>
          <w:szCs w:val="28"/>
        </w:rPr>
        <w:t xml:space="preserve">ання з використання електродів АНО-21 та АНО-4, що відповідають ТУУ 05416923.001-95, в кількості 24 кг/рік кожних. Також проводиться газове різання металевих виробів з максимальною товщиною різання металу 90 мм, кількість робочих годин протягом року – 720.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ГСЛ розміщується  деревообробне обладнання </w:t>
      </w:r>
      <w:r>
        <w:rPr>
          <w:i/>
          <w:sz w:val="28"/>
          <w:szCs w:val="28"/>
        </w:rPr>
        <w:t xml:space="preserve">(джерело № 13)</w:t>
      </w:r>
      <w:r>
        <w:rPr>
          <w:sz w:val="28"/>
          <w:szCs w:val="28"/>
        </w:rPr>
        <w:t xml:space="preserve">. Під час роботи деревообробних верстатів – фугувального Ф-6 і універсального К-40М – утворюється пил деревини, який збирається в загальний колектор і за допомогою вентагрегата ЦП6-45-8-01 подається на очищення до газоочисної установки ГОУ-3.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час роботи прирельсового складу цементу СП-200 </w:t>
      </w:r>
      <w:r>
        <w:rPr>
          <w:i/>
          <w:sz w:val="28"/>
          <w:szCs w:val="28"/>
        </w:rPr>
        <w:t xml:space="preserve">(джерело № 14) </w:t>
      </w:r>
      <w:r>
        <w:rPr>
          <w:sz w:val="28"/>
          <w:szCs w:val="28"/>
        </w:rPr>
        <w:t xml:space="preserve">утворюється пи</w:t>
      </w:r>
      <w:r>
        <w:rPr>
          <w:sz w:val="28"/>
          <w:szCs w:val="28"/>
        </w:rPr>
        <w:t xml:space="preserve">л цементу, який за допомогою пневмотранспортної системи (п’ять компресорів 4ВУ1-5/9М2) подається до агрегату ТЦ-10А, де проходить очищення за допомогою рукавних фільтрів ГОУ-7. Викиди відбуваються при пересипанні цементу почергово з трьох силосів цементу. 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Паливомастильні матеріали на склад завозяться залізничним та автомобільним транспортом. Відпускаються на автозаправні станції та іншим підрозділам ПАТ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автомобільним транспортом.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зберігання, постачання споживачам нафтопродуктів і хімреагентів та виконання технічних операцій на складах нафтопродуктів є наступні споруди: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01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вертикальний стальний резервуар об'ємом </w:t>
      </w:r>
      <w:r>
        <w:rPr>
          <w:sz w:val="28"/>
          <w:szCs w:val="28"/>
        </w:rPr>
        <w:t xml:space="preserve">300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(РВС-300) для зберігання бензину  </w:t>
      </w:r>
      <w:r>
        <w:rPr>
          <w:i/>
          <w:sz w:val="28"/>
          <w:szCs w:val="28"/>
        </w:rPr>
        <w:t xml:space="preserve">(джерело № 26)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01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вертикальні стальні резервуари об'ємом 1000 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кожен: один резервуар  з синтетичним понтоном для зберігання бензину </w:t>
      </w:r>
      <w:r>
        <w:rPr>
          <w:i/>
          <w:sz w:val="28"/>
          <w:szCs w:val="28"/>
        </w:rPr>
        <w:t xml:space="preserve">(джерело № 27)</w:t>
      </w:r>
      <w:r>
        <w:rPr>
          <w:sz w:val="28"/>
          <w:szCs w:val="28"/>
        </w:rPr>
        <w:t xml:space="preserve">, другий резервуар для зберігання дизельного палива </w:t>
      </w:r>
      <w:r>
        <w:rPr>
          <w:i/>
          <w:sz w:val="28"/>
          <w:szCs w:val="28"/>
        </w:rPr>
        <w:t xml:space="preserve">(джерело № 28)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01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дванадцять горизонтальних стальних резервуарів для </w:t>
      </w:r>
      <w:r>
        <w:rPr>
          <w:sz w:val="28"/>
          <w:szCs w:val="28"/>
        </w:rPr>
        <w:t xml:space="preserve">масла</w:t>
      </w:r>
      <w:r>
        <w:rPr>
          <w:sz w:val="28"/>
          <w:szCs w:val="28"/>
        </w:rPr>
        <w:t xml:space="preserve"> та хімреагентів (8 шт.  для зберігання </w:t>
      </w:r>
      <w:r>
        <w:rPr>
          <w:sz w:val="28"/>
          <w:szCs w:val="28"/>
        </w:rPr>
        <w:t xml:space="preserve">масла</w:t>
      </w:r>
      <w:r>
        <w:rPr>
          <w:sz w:val="28"/>
          <w:szCs w:val="28"/>
        </w:rPr>
        <w:t xml:space="preserve"> об'ємом по 100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(джерела №№ 38, 39, 40, 41, 42, 43, 44, 45</w:t>
      </w:r>
      <w:r>
        <w:rPr>
          <w:sz w:val="28"/>
          <w:szCs w:val="28"/>
        </w:rPr>
        <w:t xml:space="preserve">), ємність масла V = </w:t>
      </w:r>
      <w:r>
        <w:rPr>
          <w:sz w:val="28"/>
          <w:szCs w:val="28"/>
        </w:rPr>
        <w:t xml:space="preserve">1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джерело № 36</w:t>
      </w:r>
      <w:r>
        <w:rPr>
          <w:sz w:val="28"/>
          <w:szCs w:val="28"/>
        </w:rPr>
        <w:t xml:space="preserve">); 4 шт.  для зберігання хімреагентів об'ємом 100, 100, 50 та </w:t>
      </w:r>
      <w:r>
        <w:rPr>
          <w:sz w:val="28"/>
          <w:szCs w:val="28"/>
        </w:rPr>
        <w:t xml:space="preserve">10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); та три резервні ємності (3 шт.) зберігання для хімреагентів об'ємом 100, 50 та 25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(джерела №№ 46, 47, 48, 49, 51, 52, 53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01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шість підземних стальних резервуарів об'ємом по </w:t>
      </w:r>
      <w:r>
        <w:rPr>
          <w:sz w:val="28"/>
          <w:szCs w:val="28"/>
        </w:rPr>
        <w:t xml:space="preserve">50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з'єднаних попарно, для дизельн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масла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джерела №№ 15, 16, 17, 18, 19, 20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01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підземних стальних резервуарів об'ємом по </w:t>
      </w:r>
      <w:r>
        <w:rPr>
          <w:sz w:val="28"/>
          <w:szCs w:val="28"/>
        </w:rPr>
        <w:t xml:space="preserve">50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, з'єднаних між собою, для зберігання метанолу (спирту метилового) (</w:t>
      </w:r>
      <w:r>
        <w:rPr>
          <w:i/>
          <w:sz w:val="28"/>
          <w:szCs w:val="28"/>
        </w:rPr>
        <w:t xml:space="preserve">джерела №№ 22, 23, 24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01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горизонтальні стальні емальовані резервуари кислотного складу об'ємом по </w:t>
      </w:r>
      <w:r>
        <w:rPr>
          <w:sz w:val="28"/>
          <w:szCs w:val="28"/>
        </w:rPr>
        <w:t xml:space="preserve">25 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для зберігання соляної кислоти з  системою викиду парів на бочку з реагентом (</w:t>
      </w:r>
      <w:r>
        <w:rPr>
          <w:i/>
          <w:sz w:val="28"/>
          <w:szCs w:val="28"/>
        </w:rPr>
        <w:t xml:space="preserve">джерело № 50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01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насосна станція </w:t>
      </w:r>
      <w:r>
        <w:rPr>
          <w:i/>
          <w:sz w:val="28"/>
          <w:szCs w:val="28"/>
        </w:rPr>
        <w:t xml:space="preserve">(джерело № 29)</w:t>
      </w:r>
      <w:r>
        <w:rPr>
          <w:sz w:val="28"/>
          <w:szCs w:val="28"/>
        </w:rPr>
        <w:t xml:space="preserve"> (відкритий майданчик під навісом) з </w:t>
      </w:r>
      <w:r>
        <w:rPr>
          <w:sz w:val="28"/>
          <w:szCs w:val="28"/>
        </w:rPr>
        <w:t xml:space="preserve">насосним агрегатом АСВН-80А для перекачування бензину, з'єднана технологічними трубопроводами з зливною залізничною естакадою на один зливний пристрій УСН-175 та наливним стояком для наливу бензину в автоцистерни;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01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зливна залізнична естакада на три рукави верхнього зливу та п'ять приладів нижнього зливу УСН-175 для бензину, дизпалива </w:t>
      </w:r>
      <w:r>
        <w:rPr>
          <w:i/>
          <w:sz w:val="28"/>
          <w:szCs w:val="28"/>
        </w:rPr>
        <w:t xml:space="preserve">(джерело № 54)</w:t>
      </w:r>
      <w:r>
        <w:rPr>
          <w:sz w:val="28"/>
          <w:szCs w:val="28"/>
        </w:rPr>
        <w:t xml:space="preserve"> та два прилади нижнього зливу УСН-175 для мастил та хімреагентів </w:t>
      </w:r>
      <w:r>
        <w:rPr>
          <w:i/>
          <w:sz w:val="28"/>
          <w:szCs w:val="28"/>
        </w:rPr>
        <w:t xml:space="preserve">(джерело № 55).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01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насосна станція під навісом світлих нафтопродуктів і хімреагентів у складі: чотирьох насосних агрегатів АСВН-80А для перекачування бензину </w:t>
      </w:r>
      <w:r>
        <w:rPr>
          <w:i/>
          <w:sz w:val="28"/>
          <w:szCs w:val="28"/>
        </w:rPr>
        <w:t xml:space="preserve">(джерело № 35) </w:t>
      </w:r>
      <w:r>
        <w:rPr>
          <w:sz w:val="28"/>
          <w:szCs w:val="28"/>
        </w:rPr>
        <w:t xml:space="preserve">або дизпалива; одного насосного агрегату Ш80-4 для перекачування хімреагентів (деемульгаторів);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01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насосна станція </w:t>
      </w:r>
      <w:r>
        <w:rPr>
          <w:sz w:val="28"/>
          <w:szCs w:val="28"/>
        </w:rPr>
        <w:t xml:space="preserve">масла</w:t>
      </w:r>
      <w:r>
        <w:rPr>
          <w:sz w:val="28"/>
          <w:szCs w:val="28"/>
        </w:rPr>
        <w:t xml:space="preserve"> (під навісом) у складі насосного агрегату ЗВ40/25, та насосного агрегату 1Ш40-4 </w:t>
      </w:r>
      <w:r>
        <w:rPr>
          <w:i/>
          <w:sz w:val="28"/>
          <w:szCs w:val="28"/>
        </w:rPr>
        <w:t xml:space="preserve">(джерело № 21);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18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устаткування верхнього наливу АСН-5м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Сигма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бензину в автоцистерни та таке саме устаткування для дизпалива  </w:t>
      </w:r>
      <w:r>
        <w:rPr>
          <w:i/>
          <w:sz w:val="28"/>
          <w:szCs w:val="28"/>
        </w:rPr>
        <w:t xml:space="preserve">(джерела № 30, 31, 32)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numPr>
          <w:ilvl w:val="0"/>
          <w:numId w:val="4"/>
        </w:numPr>
        <w:pBdr/>
        <w:shd w:val="clear" w:color="auto" w:fill="ffffff"/>
        <w:tabs>
          <w:tab w:val="left" w:leader="none" w:pos="1186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наливна естакада на два стояки: один стояк для наливу в автоцистерни </w:t>
      </w:r>
      <w:r>
        <w:rPr>
          <w:sz w:val="28"/>
          <w:szCs w:val="28"/>
        </w:rPr>
        <w:t xml:space="preserve"> масла </w:t>
      </w:r>
      <w:r>
        <w:rPr>
          <w:i/>
          <w:sz w:val="28"/>
          <w:szCs w:val="28"/>
        </w:rPr>
        <w:t xml:space="preserve">(джерело № 33)</w:t>
      </w:r>
      <w:r>
        <w:rPr>
          <w:sz w:val="28"/>
          <w:szCs w:val="28"/>
        </w:rPr>
        <w:t xml:space="preserve">, другий – для хімреагентів </w:t>
      </w:r>
      <w:r>
        <w:rPr>
          <w:i/>
          <w:sz w:val="28"/>
          <w:szCs w:val="28"/>
        </w:rPr>
        <w:t xml:space="preserve">(джерело № 34);</w:t>
      </w:r>
      <w:r>
        <w:rPr>
          <w:sz w:val="28"/>
          <w:szCs w:val="28"/>
        </w:rPr>
      </w:r>
    </w:p>
    <w:p>
      <w:pPr>
        <w:numPr>
          <w:ilvl w:val="0"/>
          <w:numId w:val="4"/>
        </w:numPr>
        <w:pBdr/>
        <w:shd w:val="clear" w:color="auto" w:fill="ffffff"/>
        <w:tabs>
          <w:tab w:val="left" w:leader="none" w:pos="1267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заглиблена насосна станція (під навісом) з двома насосними агрегатами АСВН-80А для </w:t>
      </w:r>
      <w:r>
        <w:rPr>
          <w:sz w:val="28"/>
          <w:szCs w:val="28"/>
        </w:rPr>
        <w:t xml:space="preserve">масла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(джерело № 36)</w:t>
      </w:r>
      <w:r>
        <w:rPr>
          <w:sz w:val="28"/>
          <w:szCs w:val="28"/>
        </w:rPr>
        <w:t xml:space="preserve">, що призначені для подачі </w:t>
      </w:r>
      <w:r>
        <w:rPr>
          <w:sz w:val="28"/>
          <w:szCs w:val="28"/>
        </w:rPr>
        <w:t xml:space="preserve">масла</w:t>
      </w:r>
      <w:r>
        <w:rPr>
          <w:sz w:val="28"/>
          <w:szCs w:val="28"/>
        </w:rPr>
        <w:t xml:space="preserve"> з підземних резервуарів на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аливну естакаду </w:t>
      </w:r>
      <w:r>
        <w:rPr>
          <w:sz w:val="28"/>
          <w:szCs w:val="28"/>
        </w:rPr>
        <w:t xml:space="preserve">масла</w:t>
      </w:r>
      <w:r>
        <w:rPr>
          <w:sz w:val="28"/>
          <w:szCs w:val="28"/>
        </w:rPr>
        <w:t xml:space="preserve"> та метанолу в автоцистерни;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157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відкрита насосна станція метанолу </w:t>
      </w:r>
      <w:r>
        <w:rPr>
          <w:i/>
          <w:sz w:val="28"/>
          <w:szCs w:val="28"/>
        </w:rPr>
        <w:t xml:space="preserve">(джерело № 25) </w:t>
      </w:r>
      <w:r>
        <w:rPr>
          <w:sz w:val="28"/>
          <w:szCs w:val="28"/>
        </w:rPr>
        <w:t xml:space="preserve">в складі насосного агрегату АСВН-80А призначеного для викачування метанолу з залізничної цистерни через залізничну естакаду з рукавом верхнього зливу та подачі метанолу з підземних резервуа</w:t>
      </w:r>
      <w:r>
        <w:rPr>
          <w:sz w:val="28"/>
          <w:szCs w:val="28"/>
        </w:rPr>
        <w:t xml:space="preserve">рів на наливну естакаду дизельного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масла</w:t>
      </w:r>
      <w:r>
        <w:rPr>
          <w:sz w:val="28"/>
          <w:szCs w:val="28"/>
        </w:rPr>
        <w:t xml:space="preserve"> та метанолу;</w:t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4"/>
        </w:numPr>
        <w:pBdr/>
        <w:shd w:val="clear" w:color="auto" w:fill="ffffff"/>
        <w:tabs>
          <w:tab w:val="left" w:leader="none" w:pos="1157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зливний пристрій УСН-175 для зливу самопливом дизельн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масла</w:t>
      </w:r>
      <w:r>
        <w:rPr>
          <w:sz w:val="28"/>
          <w:szCs w:val="28"/>
        </w:rPr>
        <w:t xml:space="preserve"> у підземні резервуари.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Автозаправна станція</w:t>
      </w:r>
      <w:r>
        <w:rPr>
          <w:sz w:val="28"/>
          <w:szCs w:val="28"/>
          <w:u w:val="single"/>
        </w:rPr>
        <w:t xml:space="preserve"> АЗС</w:t>
      </w:r>
      <w:r>
        <w:rPr>
          <w:sz w:val="28"/>
          <w:szCs w:val="28"/>
          <w:u w:val="single"/>
        </w:rPr>
        <w:t xml:space="preserve"> (Прилуки)</w:t>
      </w:r>
      <w:r>
        <w:rPr>
          <w:sz w:val="28"/>
          <w:szCs w:val="28"/>
          <w:u w:val="single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Автозаправна станція являє собою комплекс споруд для приймання, зберігання та відпуску нафтопродуктів у паливні баки транспортних засобів. </w:t>
      </w:r>
      <w:r>
        <w:rPr>
          <w:sz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</w:rPr>
      </w:pPr>
      <w:r>
        <w:rPr>
          <w:sz w:val="28"/>
        </w:rPr>
        <w:t xml:space="preserve">На АЗС здійснюються такі технологічні операції: </w:t>
      </w:r>
      <w:r>
        <w:rPr>
          <w:sz w:val="28"/>
        </w:rPr>
      </w:r>
    </w:p>
    <w:p>
      <w:pPr>
        <w:numPr>
          <w:ilvl w:val="0"/>
          <w:numId w:val="9"/>
        </w:numPr>
        <w:pBdr/>
        <w:shd w:val="clear" w:color="auto" w:fill="ffffff"/>
        <w:tabs>
          <w:tab w:val="num" w:leader="none" w:pos="1083"/>
        </w:tabs>
        <w:spacing/>
        <w:ind w:left="1083"/>
        <w:jc w:val="both"/>
        <w:rPr/>
      </w:pPr>
      <w:r>
        <w:rPr>
          <w:sz w:val="28"/>
        </w:rPr>
        <w:t xml:space="preserve">приймання нафтопродуктів з автомобільних цистерн;</w:t>
      </w:r>
      <w:r/>
    </w:p>
    <w:p>
      <w:pPr>
        <w:widowControl w:val="false"/>
        <w:numPr>
          <w:ilvl w:val="0"/>
          <w:numId w:val="9"/>
        </w:numPr>
        <w:pBdr/>
        <w:shd w:val="clear" w:color="auto" w:fill="ffffff"/>
        <w:tabs>
          <w:tab w:val="left" w:leader="none" w:pos="360"/>
          <w:tab w:val="clear" w:leader="none" w:pos="363"/>
          <w:tab w:val="num" w:leader="none" w:pos="1083"/>
        </w:tabs>
        <w:spacing/>
        <w:ind w:left="1083"/>
        <w:jc w:val="both"/>
        <w:rPr>
          <w:sz w:val="28"/>
        </w:rPr>
      </w:pPr>
      <w:r>
        <w:rPr>
          <w:sz w:val="28"/>
        </w:rPr>
        <w:t xml:space="preserve">зберігання нафтопродуктів в резервуарах;</w:t>
      </w:r>
      <w:r>
        <w:rPr>
          <w:sz w:val="28"/>
        </w:rPr>
      </w:r>
    </w:p>
    <w:p>
      <w:pPr>
        <w:widowControl w:val="false"/>
        <w:numPr>
          <w:ilvl w:val="0"/>
          <w:numId w:val="9"/>
        </w:numPr>
        <w:pBdr/>
        <w:shd w:val="clear" w:color="auto" w:fill="ffffff"/>
        <w:tabs>
          <w:tab w:val="left" w:leader="none" w:pos="360"/>
          <w:tab w:val="clear" w:leader="none" w:pos="363"/>
          <w:tab w:val="num" w:leader="none" w:pos="1083"/>
        </w:tabs>
        <w:spacing/>
        <w:ind w:left="1083"/>
        <w:jc w:val="both"/>
        <w:rPr>
          <w:sz w:val="28"/>
        </w:rPr>
      </w:pPr>
      <w:r>
        <w:rPr>
          <w:sz w:val="28"/>
        </w:rPr>
        <w:t xml:space="preserve">заправка автотранспортних засобів нафтопродуктами.</w:t>
      </w:r>
      <w:r>
        <w:rPr>
          <w:sz w:val="28"/>
        </w:rPr>
      </w:r>
    </w:p>
    <w:p>
      <w:pPr>
        <w:pBdr/>
        <w:shd w:val="clear" w:color="auto" w:fill="ffffff"/>
        <w:tabs>
          <w:tab w:val="num" w:leader="none" w:pos="1083"/>
        </w:tabs>
        <w:spacing/>
        <w:ind w:left="720"/>
        <w:jc w:val="both"/>
        <w:rPr/>
      </w:pPr>
      <w:r>
        <w:rPr>
          <w:sz w:val="28"/>
        </w:rPr>
        <w:t xml:space="preserve">Комплекс складається з:</w:t>
      </w:r>
      <w:r/>
    </w:p>
    <w:p>
      <w:pPr>
        <w:widowControl w:val="false"/>
        <w:numPr>
          <w:ilvl w:val="0"/>
          <w:numId w:val="9"/>
        </w:numPr>
        <w:pBdr/>
        <w:shd w:val="clear" w:color="auto" w:fill="ffffff"/>
        <w:tabs>
          <w:tab w:val="left" w:leader="none" w:pos="312"/>
          <w:tab w:val="num" w:leader="none" w:pos="1083"/>
        </w:tabs>
        <w:spacing/>
        <w:ind w:left="1083"/>
        <w:jc w:val="both"/>
        <w:rPr>
          <w:sz w:val="28"/>
        </w:rPr>
      </w:pPr>
      <w:r>
        <w:rPr>
          <w:sz w:val="28"/>
        </w:rPr>
        <w:t xml:space="preserve">операторна (приміщення оператора, побутове приміщення);</w:t>
      </w:r>
      <w:r>
        <w:rPr>
          <w:sz w:val="28"/>
        </w:rPr>
      </w:r>
    </w:p>
    <w:p>
      <w:pPr>
        <w:widowControl w:val="false"/>
        <w:numPr>
          <w:ilvl w:val="0"/>
          <w:numId w:val="9"/>
        </w:numPr>
        <w:pBdr/>
        <w:shd w:val="clear" w:color="auto" w:fill="ffffff"/>
        <w:tabs>
          <w:tab w:val="left" w:leader="none" w:pos="312"/>
          <w:tab w:val="num" w:leader="none" w:pos="1083"/>
        </w:tabs>
        <w:spacing/>
        <w:ind w:left="1083"/>
        <w:jc w:val="both"/>
        <w:rPr>
          <w:sz w:val="28"/>
        </w:rPr>
      </w:pPr>
      <w:r>
        <w:rPr>
          <w:sz w:val="28"/>
        </w:rPr>
        <w:t xml:space="preserve">резервуарний парк (9 підземних резервуарів);</w:t>
      </w:r>
      <w:r>
        <w:rPr>
          <w:sz w:val="28"/>
        </w:rPr>
      </w:r>
    </w:p>
    <w:p>
      <w:pPr>
        <w:widowControl w:val="false"/>
        <w:numPr>
          <w:ilvl w:val="0"/>
          <w:numId w:val="9"/>
        </w:numPr>
        <w:pBdr/>
        <w:shd w:val="clear" w:color="auto" w:fill="ffffff"/>
        <w:tabs>
          <w:tab w:val="left" w:leader="none" w:pos="312"/>
          <w:tab w:val="num" w:leader="none" w:pos="1083"/>
        </w:tabs>
        <w:spacing/>
        <w:ind w:left="1083"/>
        <w:jc w:val="both"/>
        <w:rPr>
          <w:sz w:val="28"/>
        </w:rPr>
      </w:pPr>
      <w:r>
        <w:rPr>
          <w:sz w:val="28"/>
        </w:rPr>
        <w:t xml:space="preserve">підземний склад мастил (десять ємностей по З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 кожна);</w:t>
      </w:r>
      <w:r>
        <w:rPr>
          <w:sz w:val="28"/>
        </w:rPr>
      </w:r>
    </w:p>
    <w:p>
      <w:pPr>
        <w:widowControl w:val="false"/>
        <w:numPr>
          <w:ilvl w:val="0"/>
          <w:numId w:val="9"/>
        </w:numPr>
        <w:pBdr/>
        <w:shd w:val="clear" w:color="auto" w:fill="ffffff"/>
        <w:tabs>
          <w:tab w:val="left" w:leader="none" w:pos="312"/>
          <w:tab w:val="num" w:leader="none" w:pos="1083"/>
        </w:tabs>
        <w:spacing/>
        <w:ind w:left="1083"/>
        <w:jc w:val="both"/>
        <w:rPr>
          <w:sz w:val="28"/>
        </w:rPr>
      </w:pPr>
      <w:r>
        <w:rPr>
          <w:sz w:val="28"/>
        </w:rPr>
        <w:t xml:space="preserve">дві підземні ємності по З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 кожна для збору відпрацьованих мастил;</w:t>
      </w:r>
      <w:r>
        <w:rPr>
          <w:sz w:val="28"/>
        </w:rPr>
      </w:r>
    </w:p>
    <w:p>
      <w:pPr>
        <w:widowControl w:val="false"/>
        <w:numPr>
          <w:ilvl w:val="0"/>
          <w:numId w:val="9"/>
        </w:numPr>
        <w:pBdr/>
        <w:shd w:val="clear" w:color="auto" w:fill="ffffff"/>
        <w:tabs>
          <w:tab w:val="left" w:leader="none" w:pos="312"/>
          <w:tab w:val="num" w:leader="none" w:pos="1083"/>
        </w:tabs>
        <w:spacing/>
        <w:ind w:left="1083"/>
        <w:jc w:val="both"/>
        <w:rPr>
          <w:sz w:val="28"/>
        </w:rPr>
      </w:pPr>
      <w:r>
        <w:rPr>
          <w:sz w:val="28"/>
        </w:rPr>
        <w:t xml:space="preserve">будівля старої операторної (приміщення для видачі мастил, підсобне приміщення);</w:t>
      </w:r>
      <w:r>
        <w:rPr>
          <w:sz w:val="28"/>
        </w:rPr>
      </w:r>
    </w:p>
    <w:p>
      <w:pPr>
        <w:widowControl w:val="false"/>
        <w:numPr>
          <w:ilvl w:val="0"/>
          <w:numId w:val="9"/>
        </w:numPr>
        <w:pBdr/>
        <w:shd w:val="clear" w:color="auto" w:fill="ffffff"/>
        <w:tabs>
          <w:tab w:val="left" w:leader="none" w:pos="312"/>
          <w:tab w:val="num" w:leader="none" w:pos="1083"/>
        </w:tabs>
        <w:spacing/>
        <w:ind w:left="1083"/>
        <w:jc w:val="both"/>
        <w:rPr>
          <w:sz w:val="28"/>
        </w:rPr>
      </w:pPr>
      <w:r>
        <w:rPr>
          <w:sz w:val="28"/>
        </w:rPr>
        <w:t xml:space="preserve">технологічна будівля (приміщення слюсарної майстерні, складське приміщення № 1, складське приміщення № 2 ).</w:t>
      </w:r>
      <w:r>
        <w:rPr>
          <w:sz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</w:rPr>
      </w:pPr>
      <w:r>
        <w:rPr>
          <w:sz w:val="28"/>
        </w:rPr>
        <w:t xml:space="preserve">Для зберігання палива використовуються вісім підземних ємностей загальним об’ємом 213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numPr>
          <w:ilvl w:val="0"/>
          <w:numId w:val="10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ємність № 1 </w:t>
      </w:r>
      <w:r>
        <w:rPr>
          <w:sz w:val="28"/>
          <w:lang w:val="en-US"/>
        </w:rPr>
        <w:t xml:space="preserve">V</w:t>
      </w:r>
      <w:r>
        <w:rPr>
          <w:sz w:val="28"/>
        </w:rPr>
        <w:t xml:space="preserve">=10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i/>
          <w:sz w:val="28"/>
          <w:szCs w:val="28"/>
        </w:rPr>
        <w:t xml:space="preserve">(джерело № </w:t>
      </w:r>
      <w:r>
        <w:rPr>
          <w:i/>
          <w:sz w:val="28"/>
          <w:szCs w:val="28"/>
        </w:rPr>
        <w:t xml:space="preserve">56</w:t>
      </w:r>
      <w:r>
        <w:rPr>
          <w:i/>
          <w:sz w:val="28"/>
          <w:szCs w:val="28"/>
        </w:rPr>
        <w:t xml:space="preserve">) </w:t>
      </w:r>
      <w:r>
        <w:rPr>
          <w:sz w:val="28"/>
        </w:rPr>
        <w:t xml:space="preserve">– бензин;</w:t>
      </w:r>
      <w:r>
        <w:rPr>
          <w:sz w:val="28"/>
        </w:rPr>
      </w:r>
    </w:p>
    <w:p>
      <w:pPr>
        <w:numPr>
          <w:ilvl w:val="0"/>
          <w:numId w:val="10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ємність № 2 </w:t>
      </w:r>
      <w:r>
        <w:rPr>
          <w:sz w:val="28"/>
          <w:lang w:val="en-US"/>
        </w:rPr>
        <w:t xml:space="preserve">V</w:t>
      </w:r>
      <w:r>
        <w:rPr>
          <w:sz w:val="28"/>
        </w:rPr>
        <w:t xml:space="preserve">=11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 </w:t>
      </w:r>
      <w:r>
        <w:rPr>
          <w:i/>
          <w:sz w:val="28"/>
          <w:szCs w:val="28"/>
        </w:rPr>
        <w:t xml:space="preserve">(джерело № 57</w:t>
      </w:r>
      <w:r>
        <w:rPr>
          <w:i/>
          <w:sz w:val="28"/>
          <w:szCs w:val="28"/>
        </w:rPr>
        <w:t xml:space="preserve">) </w:t>
      </w:r>
      <w:r>
        <w:rPr>
          <w:sz w:val="28"/>
        </w:rPr>
        <w:t xml:space="preserve">– бензин;</w:t>
      </w:r>
      <w:r>
        <w:rPr>
          <w:sz w:val="28"/>
        </w:rPr>
      </w:r>
    </w:p>
    <w:p>
      <w:pPr>
        <w:numPr>
          <w:ilvl w:val="0"/>
          <w:numId w:val="10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ємність № 3 </w:t>
      </w:r>
      <w:r>
        <w:rPr>
          <w:sz w:val="28"/>
          <w:lang w:val="en-US"/>
        </w:rPr>
        <w:t xml:space="preserve">V</w:t>
      </w:r>
      <w:r>
        <w:rPr>
          <w:sz w:val="28"/>
        </w:rPr>
        <w:t xml:space="preserve">=25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 </w:t>
      </w:r>
      <w:r>
        <w:rPr>
          <w:i/>
          <w:sz w:val="28"/>
          <w:szCs w:val="28"/>
        </w:rPr>
        <w:t xml:space="preserve">(джерело № 58</w:t>
      </w:r>
      <w:r>
        <w:rPr>
          <w:i/>
          <w:sz w:val="28"/>
          <w:szCs w:val="28"/>
        </w:rPr>
        <w:t xml:space="preserve">) </w:t>
      </w:r>
      <w:r>
        <w:rPr>
          <w:sz w:val="28"/>
        </w:rPr>
        <w:t xml:space="preserve">– бензин;</w:t>
      </w:r>
      <w:r>
        <w:rPr>
          <w:sz w:val="28"/>
        </w:rPr>
      </w:r>
    </w:p>
    <w:p>
      <w:pPr>
        <w:numPr>
          <w:ilvl w:val="0"/>
          <w:numId w:val="10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ємність № 4 </w:t>
      </w:r>
      <w:r>
        <w:rPr>
          <w:sz w:val="28"/>
          <w:lang w:val="en-US"/>
        </w:rPr>
        <w:t xml:space="preserve">V</w:t>
      </w:r>
      <w:r>
        <w:rPr>
          <w:sz w:val="28"/>
        </w:rPr>
        <w:t xml:space="preserve">=17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 </w:t>
      </w:r>
      <w:r>
        <w:rPr>
          <w:i/>
          <w:sz w:val="28"/>
          <w:szCs w:val="28"/>
        </w:rPr>
        <w:t xml:space="preserve">(джерело № </w:t>
      </w:r>
      <w:r>
        <w:rPr>
          <w:i/>
          <w:sz w:val="28"/>
          <w:szCs w:val="28"/>
        </w:rPr>
        <w:t xml:space="preserve">59</w:t>
      </w:r>
      <w:r>
        <w:rPr>
          <w:i/>
          <w:sz w:val="28"/>
          <w:szCs w:val="28"/>
        </w:rPr>
        <w:t xml:space="preserve">) </w:t>
      </w:r>
      <w:r>
        <w:rPr>
          <w:sz w:val="28"/>
        </w:rPr>
        <w:t xml:space="preserve">– бензин;</w:t>
      </w:r>
      <w:r>
        <w:rPr>
          <w:sz w:val="28"/>
        </w:rPr>
      </w:r>
    </w:p>
    <w:p>
      <w:pPr>
        <w:numPr>
          <w:ilvl w:val="0"/>
          <w:numId w:val="10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ємність № 5 </w:t>
      </w:r>
      <w:r>
        <w:rPr>
          <w:sz w:val="28"/>
          <w:lang w:val="en-US"/>
        </w:rPr>
        <w:t xml:space="preserve">V</w:t>
      </w:r>
      <w:r>
        <w:rPr>
          <w:sz w:val="28"/>
        </w:rPr>
        <w:t xml:space="preserve">=25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 </w:t>
      </w:r>
      <w:r>
        <w:rPr>
          <w:i/>
          <w:sz w:val="28"/>
          <w:szCs w:val="28"/>
        </w:rPr>
        <w:t xml:space="preserve">(джерело № </w:t>
      </w:r>
      <w:r>
        <w:rPr>
          <w:i/>
          <w:sz w:val="28"/>
          <w:szCs w:val="28"/>
        </w:rPr>
        <w:t xml:space="preserve">60</w:t>
      </w:r>
      <w:r>
        <w:rPr>
          <w:i/>
          <w:sz w:val="28"/>
          <w:szCs w:val="28"/>
        </w:rPr>
        <w:t xml:space="preserve">) </w:t>
      </w:r>
      <w:r>
        <w:rPr>
          <w:sz w:val="28"/>
        </w:rPr>
        <w:t xml:space="preserve">– бензин;</w:t>
      </w:r>
      <w:r>
        <w:rPr>
          <w:sz w:val="28"/>
        </w:rPr>
      </w:r>
    </w:p>
    <w:p>
      <w:pPr>
        <w:numPr>
          <w:ilvl w:val="0"/>
          <w:numId w:val="10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ємність № 6 </w:t>
      </w:r>
      <w:r>
        <w:rPr>
          <w:sz w:val="28"/>
          <w:lang w:val="en-US"/>
        </w:rPr>
        <w:t xml:space="preserve">V</w:t>
      </w:r>
      <w:r>
        <w:rPr>
          <w:sz w:val="28"/>
        </w:rPr>
        <w:t xml:space="preserve">=25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 </w:t>
      </w:r>
      <w:r>
        <w:rPr>
          <w:i/>
          <w:sz w:val="28"/>
          <w:szCs w:val="28"/>
        </w:rPr>
        <w:t xml:space="preserve">(джерело № </w:t>
      </w:r>
      <w:r>
        <w:rPr>
          <w:i/>
          <w:sz w:val="28"/>
          <w:szCs w:val="28"/>
        </w:rPr>
        <w:t xml:space="preserve">61</w:t>
      </w:r>
      <w:r>
        <w:rPr>
          <w:i/>
          <w:sz w:val="28"/>
          <w:szCs w:val="28"/>
        </w:rPr>
        <w:t xml:space="preserve">) </w:t>
      </w:r>
      <w:r>
        <w:rPr>
          <w:sz w:val="28"/>
        </w:rPr>
        <w:t xml:space="preserve">– бензин;</w:t>
      </w:r>
      <w:r>
        <w:rPr>
          <w:sz w:val="28"/>
        </w:rPr>
      </w:r>
    </w:p>
    <w:p>
      <w:pPr>
        <w:numPr>
          <w:ilvl w:val="0"/>
          <w:numId w:val="10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ємність № 8 </w:t>
      </w:r>
      <w:r>
        <w:rPr>
          <w:sz w:val="28"/>
          <w:lang w:val="en-US"/>
        </w:rPr>
        <w:t xml:space="preserve">V</w:t>
      </w:r>
      <w:r>
        <w:rPr>
          <w:sz w:val="28"/>
        </w:rPr>
        <w:t xml:space="preserve">=25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 </w:t>
      </w:r>
      <w:r>
        <w:rPr>
          <w:i/>
          <w:sz w:val="28"/>
          <w:szCs w:val="28"/>
        </w:rPr>
        <w:t xml:space="preserve">(джерело № </w:t>
      </w:r>
      <w:r>
        <w:rPr>
          <w:i/>
          <w:sz w:val="28"/>
          <w:szCs w:val="28"/>
        </w:rPr>
        <w:t xml:space="preserve">62</w:t>
      </w:r>
      <w:r>
        <w:rPr>
          <w:i/>
          <w:sz w:val="28"/>
          <w:szCs w:val="28"/>
        </w:rPr>
        <w:t xml:space="preserve">) </w:t>
      </w:r>
      <w:r>
        <w:rPr>
          <w:sz w:val="28"/>
        </w:rPr>
        <w:t xml:space="preserve">– дизпаливо;</w:t>
      </w:r>
      <w:r>
        <w:rPr>
          <w:sz w:val="28"/>
        </w:rPr>
      </w:r>
    </w:p>
    <w:p>
      <w:pPr>
        <w:numPr>
          <w:ilvl w:val="0"/>
          <w:numId w:val="10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ємність № 9 </w:t>
      </w:r>
      <w:r>
        <w:rPr>
          <w:sz w:val="28"/>
          <w:lang w:val="en-US"/>
        </w:rPr>
        <w:t xml:space="preserve">V</w:t>
      </w:r>
      <w:r>
        <w:rPr>
          <w:sz w:val="28"/>
        </w:rPr>
        <w:t xml:space="preserve">=50 м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 </w:t>
      </w:r>
      <w:r>
        <w:rPr>
          <w:i/>
          <w:sz w:val="28"/>
          <w:szCs w:val="28"/>
        </w:rPr>
        <w:t xml:space="preserve">(джерело № </w:t>
      </w:r>
      <w:r>
        <w:rPr>
          <w:i/>
          <w:sz w:val="28"/>
          <w:szCs w:val="28"/>
        </w:rPr>
        <w:t xml:space="preserve">63</w:t>
      </w:r>
      <w:r>
        <w:rPr>
          <w:i/>
          <w:sz w:val="28"/>
          <w:szCs w:val="28"/>
        </w:rPr>
        <w:t xml:space="preserve">) </w:t>
      </w:r>
      <w:r>
        <w:rPr>
          <w:sz w:val="28"/>
        </w:rPr>
        <w:t xml:space="preserve">– дизпаливо.</w:t>
      </w:r>
      <w:r>
        <w:rPr>
          <w:sz w:val="28"/>
        </w:rPr>
      </w:r>
    </w:p>
    <w:p>
      <w:pPr>
        <w:pBdr/>
        <w:shd w:val="clear" w:color="auto" w:fill="ffffff"/>
        <w:spacing/>
        <w:ind w:firstLine="720"/>
        <w:jc w:val="both"/>
        <w:rPr/>
      </w:pPr>
      <w:r>
        <w:rPr>
          <w:sz w:val="28"/>
        </w:rPr>
        <w:t xml:space="preserve">Доставка палива на АЗС здійснюється автомобільним транспортом. Прийом палива із автоцистерни, в резервуари проводиться через прийомні пристрої (гайки герметичного зливу), встановлені на заливній горловині кожної ємності.</w:t>
      </w:r>
      <w:r/>
    </w:p>
    <w:p>
      <w:pPr>
        <w:pBdr/>
        <w:shd w:val="clear" w:color="auto" w:fill="ffffff"/>
        <w:spacing/>
        <w:ind w:firstLine="720"/>
        <w:jc w:val="both"/>
        <w:rPr/>
      </w:pPr>
      <w:r>
        <w:rPr>
          <w:sz w:val="28"/>
        </w:rPr>
        <w:t xml:space="preserve">Подача палива з резервуарів проводиться насосними установками паливороздавальних колонок. Насосне обладнання складається із прийомного клапану, вогнеперегороджуючого запобіжника типу ВП-50, арматури та з'єднуючих полімерних трубопроводів Ду 50.</w:t>
      </w:r>
      <w:r/>
    </w:p>
    <w:p>
      <w:pPr>
        <w:pBdr/>
        <w:shd w:val="clear" w:color="auto" w:fill="ffffff"/>
        <w:spacing/>
        <w:ind w:firstLine="720"/>
        <w:jc w:val="both"/>
        <w:rPr/>
      </w:pPr>
      <w:r>
        <w:rPr>
          <w:sz w:val="28"/>
        </w:rPr>
        <w:t xml:space="preserve">Для заправки автотранспорту обладнано шість паливороздавальних колонок</w:t>
      </w:r>
      <w:r>
        <w:rPr>
          <w:sz w:val="28"/>
        </w:rPr>
        <w:t xml:space="preserve"> </w:t>
      </w:r>
      <w:r>
        <w:rPr>
          <w:i/>
          <w:sz w:val="28"/>
          <w:szCs w:val="28"/>
        </w:rPr>
        <w:t xml:space="preserve">(джере</w:t>
      </w:r>
      <w:r>
        <w:rPr>
          <w:i/>
          <w:sz w:val="28"/>
          <w:szCs w:val="28"/>
        </w:rPr>
        <w:t xml:space="preserve">ла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№</w:t>
      </w:r>
      <w:r>
        <w:rPr>
          <w:i/>
          <w:sz w:val="28"/>
          <w:szCs w:val="28"/>
        </w:rPr>
        <w:t xml:space="preserve">№ </w:t>
      </w:r>
      <w:r>
        <w:rPr>
          <w:i/>
          <w:sz w:val="28"/>
          <w:szCs w:val="28"/>
        </w:rPr>
        <w:t xml:space="preserve">64 – 69</w:t>
      </w:r>
      <w:r>
        <w:rPr>
          <w:i/>
          <w:sz w:val="28"/>
          <w:szCs w:val="28"/>
        </w:rPr>
        <w:t xml:space="preserve">)</w:t>
      </w:r>
      <w:r>
        <w:rPr>
          <w:sz w:val="28"/>
        </w:rPr>
        <w:t xml:space="preserve">. Заправлення автотранспорту здійснюється колонками італійського виробництва типу „</w:t>
      </w:r>
      <w:r>
        <w:rPr>
          <w:sz w:val="28"/>
          <w:lang w:val="en-US"/>
        </w:rPr>
        <w:t xml:space="preserve">DPC</w:t>
      </w:r>
      <w:r>
        <w:rPr>
          <w:sz w:val="28"/>
        </w:rPr>
        <w:t xml:space="preserve">-</w:t>
      </w:r>
      <w:r>
        <w:rPr>
          <w:sz w:val="28"/>
          <w:lang w:val="en-US"/>
        </w:rPr>
        <w:t xml:space="preserve">U</w:t>
      </w:r>
      <w:r>
        <w:rPr>
          <w:sz w:val="28"/>
        </w:rPr>
        <w:t xml:space="preserve">”, які мають сертифікат відповідності. Колонка складається з двох модулів і обладнана двома роздавальними пістолетами.</w:t>
      </w:r>
      <w:r/>
    </w:p>
    <w:p>
      <w:pPr>
        <w:pBdr/>
        <w:shd w:val="clear" w:color="auto" w:fill="ffffff"/>
        <w:tabs>
          <w:tab w:val="left" w:leader="none" w:pos="398"/>
        </w:tabs>
        <w:spacing/>
        <w:ind w:firstLine="720"/>
        <w:jc w:val="both"/>
        <w:rPr>
          <w:sz w:val="28"/>
        </w:rPr>
      </w:pPr>
      <w:r>
        <w:rPr>
          <w:sz w:val="28"/>
        </w:rPr>
        <w:t xml:space="preserve">Розрахункова програма по заправці автомобілів складає 320 заправок в добу. Рік введення в експлуатацію – 1970.</w:t>
      </w:r>
      <w:r>
        <w:rPr>
          <w:sz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проммайданчику </w:t>
      </w:r>
      <w:r>
        <w:rPr>
          <w:sz w:val="28"/>
          <w:szCs w:val="28"/>
        </w:rPr>
        <w:t xml:space="preserve">Прокатно-ремонтного цеху експлуатаційного обладнання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НГВУ «Чернігівнафтогаз»</w:t>
      </w:r>
      <w:r>
        <w:rPr>
          <w:color w:val="000000" w:themeColor="text1"/>
          <w:sz w:val="28"/>
          <w:szCs w:val="28"/>
        </w:rPr>
        <w:t xml:space="preserve"> виявлено десять потенційних джерел викидів забруднюючих речовин (джерела №№ 1 – 10), з них вісім організованих та два неорганізованих. 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проммайданчику </w:t>
      </w:r>
      <w:r>
        <w:rPr>
          <w:sz w:val="28"/>
          <w:szCs w:val="28"/>
        </w:rPr>
        <w:t xml:space="preserve">Групи складської логістики (Прилуки) </w:t>
      </w:r>
      <w:r>
        <w:rPr>
          <w:color w:val="000000" w:themeColor="text1"/>
          <w:sz w:val="28"/>
          <w:szCs w:val="28"/>
        </w:rPr>
        <w:t xml:space="preserve">НГВУ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Чернігівнафтогаз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виявлено 45 потенційних джерел викидів забруднюючих речовин (джерела №№ 11 – 55), з них 33 організованих та 12 неорганізованих. 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проммайданчику </w:t>
      </w:r>
      <w:r>
        <w:rPr>
          <w:color w:val="000000" w:themeColor="text1"/>
          <w:sz w:val="28"/>
          <w:szCs w:val="28"/>
        </w:rPr>
        <w:t xml:space="preserve">автозаправної станції (Прилуки)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НГВУ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Чернігівнаф</w:t>
      </w:r>
      <w:r>
        <w:rPr>
          <w:color w:val="000000" w:themeColor="text1"/>
          <w:sz w:val="28"/>
          <w:szCs w:val="28"/>
        </w:rPr>
        <w:t xml:space="preserve">тогаз» виявлено 14</w:t>
      </w:r>
      <w:r>
        <w:rPr>
          <w:color w:val="000000" w:themeColor="text1"/>
          <w:sz w:val="28"/>
          <w:szCs w:val="28"/>
        </w:rPr>
        <w:t xml:space="preserve"> потенційних джерел викидів забруднюючих речовин (джерела №№ </w:t>
      </w:r>
      <w:r>
        <w:rPr>
          <w:color w:val="000000" w:themeColor="text1"/>
          <w:sz w:val="28"/>
          <w:szCs w:val="28"/>
        </w:rPr>
        <w:t xml:space="preserve">56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69</w:t>
      </w:r>
      <w:r>
        <w:rPr>
          <w:color w:val="000000" w:themeColor="text1"/>
          <w:sz w:val="28"/>
          <w:szCs w:val="28"/>
        </w:rPr>
        <w:t xml:space="preserve">), з них </w:t>
      </w:r>
      <w:r>
        <w:rPr>
          <w:color w:val="000000" w:themeColor="text1"/>
          <w:sz w:val="28"/>
          <w:szCs w:val="28"/>
        </w:rPr>
        <w:t xml:space="preserve">вісім </w:t>
      </w:r>
      <w:r>
        <w:rPr>
          <w:color w:val="000000" w:themeColor="text1"/>
          <w:sz w:val="28"/>
          <w:szCs w:val="28"/>
        </w:rPr>
        <w:t xml:space="preserve">організованих та </w:t>
      </w:r>
      <w:r>
        <w:rPr>
          <w:color w:val="000000" w:themeColor="text1"/>
          <w:sz w:val="28"/>
          <w:szCs w:val="28"/>
        </w:rPr>
        <w:t xml:space="preserve">шість </w:t>
      </w:r>
      <w:r>
        <w:rPr>
          <w:color w:val="000000" w:themeColor="text1"/>
          <w:sz w:val="28"/>
          <w:szCs w:val="28"/>
        </w:rPr>
        <w:t xml:space="preserve">неорганізованих. 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Разом на трьох проммайданчика: 69</w:t>
      </w:r>
      <w:r>
        <w:rPr>
          <w:color w:val="000000" w:themeColor="text1"/>
          <w:sz w:val="28"/>
          <w:szCs w:val="28"/>
        </w:rPr>
        <w:t xml:space="preserve"> потенційних джерел викидів забруднюючих речовин</w:t>
      </w:r>
      <w:r>
        <w:rPr>
          <w:color w:val="000000" w:themeColor="text1"/>
          <w:sz w:val="28"/>
          <w:szCs w:val="28"/>
        </w:rPr>
        <w:t xml:space="preserve">, з них 49організованих та 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0 </w:t>
      </w:r>
      <w:r>
        <w:rPr>
          <w:color w:val="000000" w:themeColor="text1"/>
          <w:sz w:val="28"/>
          <w:szCs w:val="28"/>
        </w:rPr>
        <w:t xml:space="preserve">неорганізованих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pBdr/>
        <w:spacing/>
        <w:ind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 w:clear="all"/>
      </w:r>
      <w:r>
        <w:rPr>
          <w:sz w:val="28"/>
          <w:szCs w:val="28"/>
          <w:u w:val="single"/>
        </w:rPr>
      </w:r>
    </w:p>
    <w:p>
      <w:pPr>
        <w:pStyle w:val="778"/>
        <w:pBdr/>
        <w:spacing w:line="24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Прокатно-ремонтний цех експлуатаційного обладнання ПРЦЕО</w:t>
      </w:r>
      <w:r>
        <w:rPr>
          <w:sz w:val="28"/>
          <w:szCs w:val="28"/>
          <w:u w:val="single"/>
        </w:rPr>
      </w:r>
    </w:p>
    <w:p>
      <w:pPr>
        <w:pBdr/>
        <w:shd w:val="clear" w:color="auto" w:fill="ffffff"/>
        <w:spacing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Джерело викиду № 1 – організоване – димова труба котельні. Викиди відбуваються при спалюванні паливного газу в котлі КСВа-3,15-Гн та генера-торі гарячої води </w:t>
      </w:r>
      <w:r>
        <w:rPr>
          <w:spacing w:val="2"/>
          <w:sz w:val="28"/>
          <w:szCs w:val="28"/>
        </w:rPr>
        <w:t xml:space="preserve">«</w:t>
      </w:r>
      <w:r>
        <w:rPr>
          <w:spacing w:val="2"/>
          <w:sz w:val="28"/>
          <w:szCs w:val="28"/>
        </w:rPr>
        <w:t xml:space="preserve">Термакс</w:t>
      </w:r>
      <w:r>
        <w:rPr>
          <w:spacing w:val="2"/>
          <w:sz w:val="28"/>
          <w:szCs w:val="28"/>
        </w:rPr>
        <w:t xml:space="preserve">»</w:t>
      </w:r>
      <w:r>
        <w:rPr>
          <w:spacing w:val="2"/>
          <w:sz w:val="28"/>
          <w:szCs w:val="28"/>
        </w:rPr>
        <w:t xml:space="preserve">. Забруднюючі речовини – ртуть та її сполуки, </w:t>
      </w:r>
      <w:r>
        <w:rPr>
          <w:spacing w:val="1"/>
          <w:sz w:val="28"/>
          <w:szCs w:val="28"/>
        </w:rPr>
        <w:t xml:space="preserve">оксиди азоту (оксид та діоксид азоту) у перерахунку на діоксид азоту, оксид вуглецю</w:t>
      </w:r>
      <w:r>
        <w:rPr>
          <w:spacing w:val="2"/>
          <w:sz w:val="28"/>
          <w:szCs w:val="28"/>
        </w:rPr>
        <w:t xml:space="preserve">, метан, </w:t>
      </w:r>
      <w:r>
        <w:rPr>
          <w:spacing w:val="1"/>
          <w:sz w:val="28"/>
          <w:szCs w:val="28"/>
        </w:rPr>
        <w:t xml:space="preserve">двооксид вуглецю, оксид азоту (N</w:t>
      </w:r>
      <w:r>
        <w:rPr>
          <w:spacing w:val="1"/>
          <w:sz w:val="28"/>
          <w:szCs w:val="28"/>
          <w:vertAlign w:val="subscript"/>
        </w:rPr>
        <w:t xml:space="preserve">2</w:t>
      </w:r>
      <w:r>
        <w:rPr>
          <w:spacing w:val="1"/>
          <w:sz w:val="28"/>
          <w:szCs w:val="28"/>
        </w:rPr>
        <w:t xml:space="preserve">O)</w:t>
      </w:r>
      <w:r>
        <w:rPr>
          <w:sz w:val="28"/>
          <w:szCs w:val="28"/>
        </w:rPr>
        <w:t xml:space="preserve">.</w:t>
      </w:r>
      <w:r>
        <w:rPr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Джерело викиду № 2 – організоване – димова труба котельні. Викиди  відбуваються при спалюванні паливного газу в котлах </w:t>
      </w:r>
      <w:r>
        <w:rPr>
          <w:sz w:val="28"/>
          <w:szCs w:val="28"/>
        </w:rPr>
        <w:t xml:space="preserve">Е-1,0/0,9 (паровий) ст. № 1 та  Е-1,0/0,9 (водогрійний) ст. № 2</w:t>
      </w:r>
      <w:r>
        <w:rPr>
          <w:spacing w:val="2"/>
          <w:sz w:val="28"/>
          <w:szCs w:val="28"/>
        </w:rPr>
        <w:t xml:space="preserve">. Забруднюючі речовини – ртуть та її сполуки, </w:t>
      </w:r>
      <w:r>
        <w:rPr>
          <w:spacing w:val="1"/>
          <w:sz w:val="28"/>
          <w:szCs w:val="28"/>
        </w:rPr>
        <w:t xml:space="preserve">оксиди азоту (оксид та діоксид азоту) у перерахунку на діоксид азоту, оксид вуглецю</w:t>
      </w:r>
      <w:r>
        <w:rPr>
          <w:spacing w:val="2"/>
          <w:sz w:val="28"/>
          <w:szCs w:val="28"/>
        </w:rPr>
        <w:t xml:space="preserve">, метан, </w:t>
      </w:r>
      <w:r>
        <w:rPr>
          <w:spacing w:val="1"/>
          <w:sz w:val="28"/>
          <w:szCs w:val="28"/>
        </w:rPr>
        <w:t xml:space="preserve">двооксид вуглецю, оксид азоту (N</w:t>
      </w:r>
      <w:r>
        <w:rPr>
          <w:spacing w:val="1"/>
          <w:sz w:val="28"/>
          <w:szCs w:val="28"/>
          <w:vertAlign w:val="subscript"/>
        </w:rPr>
        <w:t xml:space="preserve">2</w:t>
      </w:r>
      <w:r>
        <w:rPr>
          <w:spacing w:val="1"/>
          <w:sz w:val="28"/>
          <w:szCs w:val="28"/>
        </w:rPr>
        <w:t xml:space="preserve">O)</w:t>
      </w:r>
      <w:r>
        <w:rPr>
          <w:sz w:val="28"/>
          <w:szCs w:val="28"/>
        </w:rPr>
        <w:t xml:space="preserve">.</w:t>
      </w:r>
      <w:r>
        <w:rPr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Джерел</w:t>
      </w:r>
      <w:r>
        <w:rPr>
          <w:spacing w:val="2"/>
          <w:sz w:val="28"/>
          <w:szCs w:val="28"/>
        </w:rPr>
        <w:t xml:space="preserve">а викиду №№ 3, 4 –  організовані – свічі від шафного газорозподільчого пункту ШГРП (2 шт.). Викиди відбуваються при продуванні перед запуском  котельні в експлуатацію. Забруднюючі речовини – вуглеводні насичені: бутан, гексан, пентан, метан, пропан, етан. </w:t>
      </w:r>
      <w:r>
        <w:rPr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5 –  організоване – димова труба від ковальського горна. Викиди відбуваються при спалюванні вугілля.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оксиди азоту (окси</w:t>
      </w:r>
      <w:r>
        <w:rPr>
          <w:color w:val="000000" w:themeColor="text1"/>
          <w:spacing w:val="1"/>
          <w:sz w:val="28"/>
          <w:szCs w:val="28"/>
        </w:rPr>
        <w:t xml:space="preserve">д та діоксид азоту) у перерахунку на діоксид азоту, оксид вуглецю, діоксид сірки (діоксид та триоксид) у перерахунку на діоксид сірки, речовини у вигляді суспендованих твердих частинок недиференційованих  за складом, метан, двооксид вуглецю, оксид азоту (N</w:t>
      </w:r>
      <w:r>
        <w:rPr>
          <w:color w:val="000000" w:themeColor="text1"/>
          <w:spacing w:val="1"/>
          <w:sz w:val="28"/>
          <w:szCs w:val="28"/>
          <w:vertAlign w:val="subscript"/>
        </w:rPr>
        <w:t xml:space="preserve">2</w:t>
      </w:r>
      <w:r>
        <w:rPr>
          <w:color w:val="000000" w:themeColor="text1"/>
          <w:spacing w:val="1"/>
          <w:sz w:val="28"/>
          <w:szCs w:val="28"/>
        </w:rPr>
        <w:t xml:space="preserve">O). </w:t>
      </w:r>
      <w:r>
        <w:rPr>
          <w:color w:val="000000" w:themeColor="text1"/>
          <w:spacing w:val="2"/>
          <w:sz w:val="28"/>
          <w:szCs w:val="28"/>
        </w:rPr>
        <w:t xml:space="preserve">Викиди також відбуваються при пайці.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свинець та його сполуки.</w:t>
      </w:r>
      <w:r>
        <w:rPr>
          <w:color w:val="000000" w:themeColor="text1"/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pacing w:val="1"/>
          <w:sz w:val="28"/>
          <w:szCs w:val="28"/>
        </w:rPr>
      </w:pPr>
      <w:r>
        <w:rPr>
          <w:sz w:val="28"/>
          <w:szCs w:val="28"/>
        </w:rPr>
        <w:t xml:space="preserve">Джерело викиду № 6</w:t>
      </w:r>
      <w:r>
        <w:rPr>
          <w:spacing w:val="2"/>
          <w:sz w:val="28"/>
          <w:szCs w:val="28"/>
        </w:rPr>
        <w:t xml:space="preserve"> – </w:t>
      </w:r>
      <w:r>
        <w:rPr>
          <w:sz w:val="28"/>
          <w:szCs w:val="28"/>
        </w:rPr>
        <w:t xml:space="preserve"> організоване –</w:t>
      </w:r>
      <w:r>
        <w:rPr>
          <w:spacing w:val="2"/>
          <w:sz w:val="28"/>
          <w:szCs w:val="28"/>
        </w:rPr>
        <w:t xml:space="preserve"> вентиляційна труба заточного відділення. Викиди </w:t>
      </w:r>
      <w:r>
        <w:rPr>
          <w:color w:val="000000" w:themeColor="text1"/>
          <w:spacing w:val="2"/>
          <w:sz w:val="28"/>
          <w:szCs w:val="28"/>
        </w:rPr>
        <w:t xml:space="preserve">відбуваються при механічній обробці металевих виробів.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</w:t>
      </w:r>
      <w:r>
        <w:rPr>
          <w:color w:val="000000" w:themeColor="text1"/>
          <w:sz w:val="28"/>
          <w:szCs w:val="28"/>
        </w:rPr>
        <w:t xml:space="preserve">речовини у вигляді суспендованих твердих частинок, недиференційованих за складом</w:t>
      </w:r>
      <w:r>
        <w:rPr>
          <w:color w:val="000000" w:themeColor="text1"/>
          <w:spacing w:val="1"/>
          <w:sz w:val="28"/>
          <w:szCs w:val="28"/>
        </w:rPr>
        <w:t xml:space="preserve">.</w:t>
      </w:r>
      <w:r>
        <w:rPr>
          <w:color w:val="000000" w:themeColor="text1"/>
          <w:spacing w:val="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7 – організоване – вентиляційна труба зварювального поста. Викиди відбуваються при зварювальних роботах з  використанням електродів АНО-4. Забруднюючі речовини – </w:t>
      </w:r>
      <w:r>
        <w:rPr>
          <w:color w:val="000000" w:themeColor="text1"/>
          <w:spacing w:val="1"/>
          <w:sz w:val="28"/>
          <w:szCs w:val="28"/>
        </w:rPr>
        <w:t xml:space="preserve">залізо та його сполуки (у перерахунку на залізо), манган та його сполуки в перерахунку на діоксид мангану</w:t>
      </w:r>
      <w:r>
        <w:rPr>
          <w:color w:val="000000" w:themeColor="text1"/>
          <w:spacing w:val="2"/>
          <w:sz w:val="28"/>
          <w:szCs w:val="28"/>
        </w:rPr>
        <w:t xml:space="preserve">.</w:t>
      </w:r>
      <w:r>
        <w:rPr>
          <w:color w:val="000000" w:themeColor="text1"/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8 – організоване – вентиляційна труба зварювального поста. Викиди відбуваються при зварювальних роботах з  використанням електродів УОНИ-35 та АНО-4.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залізо та його сполуки (у перерахунку на залізо), манган та його сполуки в перерахунку на діоксид мангану, оксиди азоту (оксид та діоксид азоту) у перерахунку на діоксид азоту, оксид вуглецю</w:t>
      </w:r>
      <w:r>
        <w:rPr>
          <w:color w:val="000000" w:themeColor="text1"/>
          <w:sz w:val="28"/>
          <w:szCs w:val="28"/>
        </w:rPr>
        <w:t xml:space="preserve">, фтористий водень, фториди, що легко розчиняються, фториди погано pозчинні неоpганічні, речовини у вигляді суспендованих твердих частинок, недиференційованих за складом</w:t>
      </w:r>
      <w:r>
        <w:rPr>
          <w:color w:val="000000" w:themeColor="text1"/>
          <w:spacing w:val="1"/>
          <w:sz w:val="28"/>
          <w:szCs w:val="28"/>
        </w:rPr>
        <w:t xml:space="preserve">.</w:t>
      </w:r>
      <w:r>
        <w:rPr>
          <w:color w:val="000000" w:themeColor="text1"/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9 – неорганізоване – зварювальний пост. Викиди відбуваються при зварювальних роботах з  використанням електродів УОНИ-35 та АНО-4.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залізо та його сполуки, манган та його сполуки, оксиди азоту (оксид та діоксид азоту) у перерахунку на діоксид азоту, оксид вуглецю</w:t>
      </w:r>
      <w:r>
        <w:rPr>
          <w:color w:val="000000" w:themeColor="text1"/>
          <w:sz w:val="28"/>
          <w:szCs w:val="28"/>
        </w:rPr>
        <w:t xml:space="preserve">, фтористий водень, фториди, що легко розчиняються, фториди </w:t>
      </w:r>
      <w:r>
        <w:rPr>
          <w:color w:val="000000" w:themeColor="text1"/>
          <w:sz w:val="28"/>
          <w:szCs w:val="28"/>
        </w:rPr>
        <w:t xml:space="preserve">погано pозчинні неоpганічні, речовини у вигляді суспендованих твердих частинок, недиференційованих за складом</w:t>
      </w:r>
      <w:r>
        <w:rPr>
          <w:color w:val="000000" w:themeColor="text1"/>
          <w:spacing w:val="1"/>
          <w:sz w:val="28"/>
          <w:szCs w:val="28"/>
        </w:rPr>
        <w:t xml:space="preserve">.</w:t>
      </w:r>
      <w:r>
        <w:rPr>
          <w:color w:val="000000" w:themeColor="text1"/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10 – неорганізоване – пост газової різки. Викиди відбуваються при газовій різці металевих виробів. Забруднюючі речовини – </w:t>
      </w:r>
      <w:r>
        <w:rPr>
          <w:color w:val="000000" w:themeColor="text1"/>
          <w:spacing w:val="1"/>
          <w:sz w:val="28"/>
          <w:szCs w:val="28"/>
        </w:rPr>
        <w:t xml:space="preserve">залізо та його сполуки (у перерахунку на залізо), манган та його сполуки в перерахунку на діоксид мангану, оксиди азоту (оксид та діоксид азоту) у перерахунку на діоксид азоту, оксид вуглецю</w:t>
      </w:r>
      <w:r>
        <w:rPr>
          <w:color w:val="000000" w:themeColor="text1"/>
          <w:spacing w:val="2"/>
          <w:sz w:val="28"/>
          <w:szCs w:val="28"/>
        </w:rPr>
        <w:t xml:space="preserve">.</w:t>
      </w:r>
      <w:r>
        <w:rPr>
          <w:color w:val="000000" w:themeColor="text1"/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Група складської логістики ГСЛ (Прилуки)</w:t>
      </w:r>
      <w:r>
        <w:rPr>
          <w:sz w:val="28"/>
          <w:szCs w:val="28"/>
          <w:u w:val="single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11 – організоване – труба вентиляційна від акумуляторної. Викиди відбуваються при підзарядці акумуляторів.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кислота сірчана.</w:t>
      </w:r>
      <w:r>
        <w:rPr>
          <w:color w:val="000000" w:themeColor="text1"/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12 – організоване – вентиляційна труба від поста зварювання. Викиди відбуваються при зварюванні електродами та газовому різанні.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залізо та його сполуки, манган та його сполуки, титану діоксид, оксиди азоту (оксид та діоксид азоту) у перерахунку на діоксид азоту, оксид вуглецю, речовини у вигляді суспендованих твердих частинок недиференційованих  за складом.</w:t>
      </w:r>
      <w:r>
        <w:rPr>
          <w:color w:val="000000" w:themeColor="text1"/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Джерело викиду № 13 – організоване – </w:t>
      </w:r>
      <w:r>
        <w:rPr>
          <w:sz w:val="28"/>
          <w:szCs w:val="28"/>
        </w:rPr>
        <w:t xml:space="preserve">пола пилоосаджувальна камера D/H = 3000/5000 для очистки повітря від забруднюючих речовин, що утворюються під роботи деревообробного обладнання, розміщененого на територіїї ГСЛ</w:t>
      </w:r>
      <w:r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Під час роботи деревообробних верстатів – фугувального Ф-6 і універсального К-40М – утворюється пил деревини, який збирається в загальний колектор і за допомогою вентагрегата ЦП6-45-8-01 подається на очищення до газоочисної установки ГОУ-3. </w:t>
      </w:r>
      <w:r>
        <w:rPr>
          <w:spacing w:val="1"/>
          <w:sz w:val="28"/>
          <w:szCs w:val="28"/>
        </w:rPr>
        <w:t xml:space="preserve">Забруднюючі речовини – речовини у вигляді суспендованих твердих частинок недиференційованих  за складом.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14 – організоване – </w:t>
      </w:r>
      <w:r>
        <w:rPr>
          <w:color w:val="000000" w:themeColor="text1"/>
          <w:sz w:val="28"/>
          <w:szCs w:val="28"/>
        </w:rPr>
        <w:t xml:space="preserve">фільтр рукавний автоцистерни ТЦ-10А для очистки повітря від забруднюючих речовин, що утворюються під час роботи прирельсового складу цементу СП-200 ГСЛ</w:t>
      </w:r>
      <w:r>
        <w:rPr>
          <w:color w:val="000000" w:themeColor="text1"/>
          <w:spacing w:val="2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Під час роботи прирельсового складу цементу СП-200 утворюється пил цементу, який за допомогою пневмотранспортної системи (п’ять компресорів 4ВУ1-5/9М2) подається до агрегату ТЦ-10А, де проходить очищення за допомогою рукавних фільтрів ГОУ-7. </w:t>
      </w:r>
      <w:r>
        <w:rPr>
          <w:color w:val="000000" w:themeColor="text1"/>
          <w:spacing w:val="2"/>
          <w:sz w:val="28"/>
          <w:szCs w:val="28"/>
        </w:rPr>
        <w:t xml:space="preserve">Викиди відбуваються при пересипанні цементу почергово з трьох силосів цементу.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речовини у вигляді суспендованих твердих частинок недиференційованих  за складом.</w:t>
      </w:r>
      <w:r>
        <w:rPr>
          <w:color w:val="000000" w:themeColor="text1"/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Джерела викидів №№ 15, 16, 17, 18, 19, 20 – організовані – дихальні клапани від шести ємностей для </w:t>
      </w:r>
      <w:r>
        <w:rPr>
          <w:color w:val="000000" w:themeColor="text1"/>
          <w:spacing w:val="2"/>
          <w:sz w:val="28"/>
          <w:szCs w:val="28"/>
        </w:rPr>
        <w:t xml:space="preserve">масла</w:t>
      </w:r>
      <w:r>
        <w:rPr>
          <w:color w:val="000000" w:themeColor="text1"/>
          <w:spacing w:val="2"/>
          <w:sz w:val="28"/>
          <w:szCs w:val="28"/>
        </w:rPr>
        <w:t xml:space="preserve"> V = </w:t>
      </w:r>
      <w:r>
        <w:rPr>
          <w:color w:val="000000" w:themeColor="text1"/>
          <w:spacing w:val="2"/>
          <w:sz w:val="28"/>
          <w:szCs w:val="28"/>
        </w:rPr>
        <w:t xml:space="preserve">50 м</w:t>
      </w:r>
      <w:r>
        <w:rPr>
          <w:color w:val="000000" w:themeColor="text1"/>
          <w:spacing w:val="2"/>
          <w:sz w:val="28"/>
          <w:szCs w:val="28"/>
          <w:vertAlign w:val="superscript"/>
        </w:rPr>
        <w:t xml:space="preserve">3</w:t>
      </w:r>
      <w:r>
        <w:rPr>
          <w:color w:val="000000" w:themeColor="text1"/>
          <w:spacing w:val="2"/>
          <w:sz w:val="28"/>
          <w:szCs w:val="28"/>
        </w:rPr>
        <w:t xml:space="preserve">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зливі, наливі та зберіганні нафтопродуктів. Забруднюючі речовини – масло мінеральне нафтове (веретенне, машинне, циліндрове і ін.).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21 – організоване – труба витяжна з насосної.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</w:t>
      </w:r>
      <w:r>
        <w:rPr>
          <w:color w:val="000000" w:themeColor="text1"/>
          <w:spacing w:val="2"/>
          <w:sz w:val="28"/>
          <w:szCs w:val="28"/>
        </w:rPr>
        <w:t xml:space="preserve">перекачуванні </w:t>
      </w:r>
      <w:r>
        <w:rPr>
          <w:color w:val="000000" w:themeColor="text1"/>
          <w:spacing w:val="2"/>
          <w:sz w:val="28"/>
          <w:szCs w:val="28"/>
        </w:rPr>
        <w:t xml:space="preserve">масла</w:t>
      </w:r>
      <w:r>
        <w:rPr>
          <w:color w:val="000000" w:themeColor="text1"/>
          <w:spacing w:val="2"/>
          <w:sz w:val="28"/>
          <w:szCs w:val="28"/>
        </w:rPr>
        <w:t xml:space="preserve">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масло мінеральне нафтове (веретенне, машинне, циліндрове і ін.).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№№ 22, 23, 24 – організовані – дихальні клапани ємностей для метанолу V = 50 м</w:t>
      </w:r>
      <w:r>
        <w:rPr>
          <w:color w:val="000000" w:themeColor="text1"/>
          <w:spacing w:val="2"/>
          <w:sz w:val="28"/>
          <w:szCs w:val="28"/>
          <w:vertAlign w:val="superscript"/>
        </w:rPr>
        <w:t xml:space="preserve">3</w:t>
      </w:r>
      <w:r>
        <w:rPr>
          <w:color w:val="000000" w:themeColor="text1"/>
          <w:spacing w:val="2"/>
          <w:sz w:val="28"/>
          <w:szCs w:val="28"/>
        </w:rPr>
        <w:t xml:space="preserve"> – 3 шт..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зливі, наливі та зберіганні хімреагентів. Забруднюючі речовини – спирт метиловий.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25 – неорганізоване – відкрита насосна.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</w:t>
      </w:r>
      <w:r>
        <w:rPr>
          <w:color w:val="000000" w:themeColor="text1"/>
          <w:spacing w:val="2"/>
          <w:sz w:val="28"/>
          <w:szCs w:val="28"/>
        </w:rPr>
        <w:t xml:space="preserve">перекачуванні метанолу.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спирт метиловий.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26 – організоване – дихальний клапан  резервуару бензину РВС-300.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зливі, наливі та зберіганні </w:t>
      </w:r>
      <w:r>
        <w:rPr>
          <w:color w:val="000000" w:themeColor="text1"/>
          <w:spacing w:val="2"/>
          <w:sz w:val="28"/>
          <w:szCs w:val="28"/>
        </w:rPr>
        <w:t xml:space="preserve">бензину</w:t>
      </w:r>
      <w:r>
        <w:rPr>
          <w:color w:val="000000" w:themeColor="text1"/>
          <w:spacing w:val="1"/>
          <w:sz w:val="28"/>
          <w:szCs w:val="28"/>
        </w:rPr>
        <w:t xml:space="preserve">. Забруднюючі речовини – бензин (нафтовий, малосірчистий, у перерахунку на вуглець).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27 – організоване – дихальний клапан  резервуару бензину РВС-1000.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зливі, наливі та зберіганні </w:t>
      </w:r>
      <w:r>
        <w:rPr>
          <w:color w:val="000000" w:themeColor="text1"/>
          <w:spacing w:val="2"/>
          <w:sz w:val="28"/>
          <w:szCs w:val="28"/>
        </w:rPr>
        <w:t xml:space="preserve">бензину</w:t>
      </w:r>
      <w:r>
        <w:rPr>
          <w:color w:val="000000" w:themeColor="text1"/>
          <w:spacing w:val="1"/>
          <w:sz w:val="28"/>
          <w:szCs w:val="28"/>
        </w:rPr>
        <w:t xml:space="preserve">. Забруднюючі речовини – бензин (нафтовий, малосірчистий, у перерахунку на вуглець).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28 – організоване – дихальний клапан  резервуару дизпалива РВС-1000.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зливі, наливі та зберіганні </w:t>
      </w:r>
      <w:r>
        <w:rPr>
          <w:color w:val="000000" w:themeColor="text1"/>
          <w:spacing w:val="2"/>
          <w:sz w:val="28"/>
          <w:szCs w:val="28"/>
        </w:rPr>
        <w:t xml:space="preserve">дизпалива</w:t>
      </w:r>
      <w:r>
        <w:rPr>
          <w:color w:val="000000" w:themeColor="text1"/>
          <w:spacing w:val="1"/>
          <w:sz w:val="28"/>
          <w:szCs w:val="28"/>
        </w:rPr>
        <w:t xml:space="preserve">. Забруднюючі речовини – вуглеводні насичені С</w:t>
      </w:r>
      <w:r>
        <w:rPr>
          <w:color w:val="000000" w:themeColor="text1"/>
          <w:spacing w:val="1"/>
          <w:sz w:val="28"/>
          <w:szCs w:val="28"/>
          <w:vertAlign w:val="subscript"/>
        </w:rPr>
        <w:t xml:space="preserve">12</w:t>
      </w:r>
      <w:r>
        <w:rPr>
          <w:color w:val="000000" w:themeColor="text1"/>
          <w:spacing w:val="1"/>
          <w:sz w:val="28"/>
          <w:szCs w:val="28"/>
        </w:rPr>
        <w:t xml:space="preserve">-С</w:t>
      </w:r>
      <w:r>
        <w:rPr>
          <w:color w:val="000000" w:themeColor="text1"/>
          <w:spacing w:val="1"/>
          <w:sz w:val="28"/>
          <w:szCs w:val="28"/>
          <w:vertAlign w:val="subscript"/>
        </w:rPr>
        <w:t xml:space="preserve">19</w:t>
      </w:r>
      <w:r>
        <w:rPr>
          <w:color w:val="000000" w:themeColor="text1"/>
          <w:spacing w:val="1"/>
          <w:sz w:val="28"/>
          <w:szCs w:val="28"/>
        </w:rPr>
        <w:t xml:space="preserve">  (розчинник РПК-26611 і ін.).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29 – неорганізоване – відкрита насосна.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</w:t>
      </w:r>
      <w:r>
        <w:rPr>
          <w:color w:val="000000" w:themeColor="text1"/>
          <w:spacing w:val="2"/>
          <w:sz w:val="28"/>
          <w:szCs w:val="28"/>
        </w:rPr>
        <w:t xml:space="preserve">перекачуванні бензину.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бензин (нафтовий, малосірчистий, у перерахунку на вуглець).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30 – неорганізоване – естакада наливу.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наливі дизпалива в автоцистерни. Забруднюючі речовини – вуглеводні насичені С</w:t>
      </w:r>
      <w:r>
        <w:rPr>
          <w:color w:val="000000" w:themeColor="text1"/>
          <w:spacing w:val="1"/>
          <w:sz w:val="28"/>
          <w:szCs w:val="28"/>
          <w:vertAlign w:val="subscript"/>
        </w:rPr>
        <w:t xml:space="preserve">12</w:t>
      </w:r>
      <w:r>
        <w:rPr>
          <w:color w:val="000000" w:themeColor="text1"/>
          <w:spacing w:val="1"/>
          <w:sz w:val="28"/>
          <w:szCs w:val="28"/>
        </w:rPr>
        <w:t xml:space="preserve">-С</w:t>
      </w:r>
      <w:r>
        <w:rPr>
          <w:color w:val="000000" w:themeColor="text1"/>
          <w:spacing w:val="1"/>
          <w:sz w:val="28"/>
          <w:szCs w:val="28"/>
          <w:vertAlign w:val="subscript"/>
        </w:rPr>
        <w:t xml:space="preserve">19</w:t>
      </w:r>
      <w:r>
        <w:rPr>
          <w:color w:val="000000" w:themeColor="text1"/>
          <w:spacing w:val="1"/>
          <w:sz w:val="28"/>
          <w:szCs w:val="28"/>
        </w:rPr>
        <w:t xml:space="preserve">  (розчинник РПК-26611 і ін.).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31 – неорганізоване – естакада наливу.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наливі бензину в автоцистерни. Забруднюючі речовини – бензин (нафтовий, малосірчистий, у перерахунку на вуглець).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32 – неорганізоване – естакада наливу.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наливі бензину в автоцистерни. Забруднюючі речовини – бензин (нафтовий, малосірчистий, у перерахунку на вуглець).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33 – неорганізоване – естакада наливу.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наливі масла в автоцистерни. Забруднюючі речовини – масло мінеральне нафтове (веретенне, машинне, циліндрове і ін.).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34 – неорганізоване – естакада наливу.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наливі хімреагентів в автоцистерни. Забруднюючі речовини – вуглеводні насичені С</w:t>
      </w:r>
      <w:r>
        <w:rPr>
          <w:color w:val="000000" w:themeColor="text1"/>
          <w:spacing w:val="1"/>
          <w:sz w:val="28"/>
          <w:szCs w:val="28"/>
          <w:vertAlign w:val="subscript"/>
        </w:rPr>
        <w:t xml:space="preserve">12</w:t>
      </w:r>
      <w:r>
        <w:rPr>
          <w:color w:val="000000" w:themeColor="text1"/>
          <w:spacing w:val="1"/>
          <w:sz w:val="28"/>
          <w:szCs w:val="28"/>
        </w:rPr>
        <w:t xml:space="preserve">-С</w:t>
      </w:r>
      <w:r>
        <w:rPr>
          <w:color w:val="000000" w:themeColor="text1"/>
          <w:spacing w:val="1"/>
          <w:sz w:val="28"/>
          <w:szCs w:val="28"/>
          <w:vertAlign w:val="subscript"/>
        </w:rPr>
        <w:t xml:space="preserve">19</w:t>
      </w:r>
      <w:r>
        <w:rPr>
          <w:color w:val="000000" w:themeColor="text1"/>
          <w:spacing w:val="1"/>
          <w:sz w:val="28"/>
          <w:szCs w:val="28"/>
        </w:rPr>
        <w:t xml:space="preserve">  (розчинник РПК-26611 і ін.).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35 – неорганізоване – відкрита насосна.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</w:t>
      </w:r>
      <w:r>
        <w:rPr>
          <w:color w:val="000000" w:themeColor="text1"/>
          <w:spacing w:val="2"/>
          <w:sz w:val="28"/>
          <w:szCs w:val="28"/>
        </w:rPr>
        <w:t xml:space="preserve">перекачуванні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 xml:space="preserve">світлих нафтопродуктів.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бензин (нафтовий, малосірчистий).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36 – неорганізоване – відкрита насосна.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</w:t>
      </w:r>
      <w:r>
        <w:rPr>
          <w:color w:val="000000" w:themeColor="text1"/>
          <w:spacing w:val="2"/>
          <w:sz w:val="28"/>
          <w:szCs w:val="28"/>
        </w:rPr>
        <w:t xml:space="preserve">перекачуванні </w:t>
      </w:r>
      <w:r>
        <w:rPr>
          <w:color w:val="000000" w:themeColor="text1"/>
          <w:spacing w:val="2"/>
          <w:sz w:val="28"/>
          <w:szCs w:val="28"/>
        </w:rPr>
        <w:t xml:space="preserve">масла</w:t>
      </w:r>
      <w:r>
        <w:rPr>
          <w:color w:val="000000" w:themeColor="text1"/>
          <w:spacing w:val="2"/>
          <w:sz w:val="28"/>
          <w:szCs w:val="28"/>
        </w:rPr>
        <w:t xml:space="preserve">. </w:t>
      </w:r>
      <w:r>
        <w:rPr>
          <w:color w:val="000000" w:themeColor="text1"/>
          <w:spacing w:val="1"/>
          <w:sz w:val="28"/>
          <w:szCs w:val="28"/>
        </w:rPr>
        <w:t xml:space="preserve">Забруднюючі речовини – масло мінеральне нафтове (веретенне, машинне, циліндрове і ін.).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37 – організоване – дихальний клапан  ємності для масла V = </w:t>
      </w:r>
      <w:r>
        <w:rPr>
          <w:color w:val="000000" w:themeColor="text1"/>
          <w:spacing w:val="2"/>
          <w:sz w:val="28"/>
          <w:szCs w:val="28"/>
        </w:rPr>
        <w:t xml:space="preserve">1 м</w:t>
      </w:r>
      <w:r>
        <w:rPr>
          <w:color w:val="000000" w:themeColor="text1"/>
          <w:spacing w:val="2"/>
          <w:sz w:val="28"/>
          <w:szCs w:val="28"/>
          <w:vertAlign w:val="superscript"/>
        </w:rPr>
        <w:t xml:space="preserve">3</w:t>
      </w:r>
      <w:r>
        <w:rPr>
          <w:color w:val="000000" w:themeColor="text1"/>
          <w:spacing w:val="2"/>
          <w:sz w:val="28"/>
          <w:szCs w:val="28"/>
        </w:rPr>
        <w:t xml:space="preserve">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зливі, наливі та зберіганні нафтопродуктів. Забруднюючі речовини – масло мінеральне нафтове (веретенне, машинне, циліндрове і ін.).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Джерела викиду №№ 38, 39, 40, 41, 42, 43, 44, 45, 46 – організовані – дихальні клапани  ємностей для масла V = </w:t>
      </w:r>
      <w:r>
        <w:rPr>
          <w:color w:val="000000" w:themeColor="text1"/>
          <w:spacing w:val="2"/>
          <w:sz w:val="28"/>
          <w:szCs w:val="28"/>
        </w:rPr>
        <w:t xml:space="preserve">100 м</w:t>
      </w:r>
      <w:r>
        <w:rPr>
          <w:color w:val="000000" w:themeColor="text1"/>
          <w:spacing w:val="2"/>
          <w:sz w:val="28"/>
          <w:szCs w:val="28"/>
          <w:vertAlign w:val="superscript"/>
        </w:rPr>
        <w:t xml:space="preserve">3</w:t>
      </w:r>
      <w:r>
        <w:rPr>
          <w:color w:val="000000" w:themeColor="text1"/>
          <w:spacing w:val="2"/>
          <w:sz w:val="28"/>
          <w:szCs w:val="28"/>
        </w:rPr>
        <w:t xml:space="preserve">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</w:t>
      </w:r>
      <w:r>
        <w:rPr>
          <w:color w:val="000000" w:themeColor="text1"/>
          <w:spacing w:val="1"/>
          <w:sz w:val="28"/>
          <w:szCs w:val="28"/>
        </w:rPr>
        <w:t xml:space="preserve">відбуваються при зливі, наливі та зберіганні </w:t>
      </w:r>
      <w:r>
        <w:rPr>
          <w:color w:val="000000" w:themeColor="text1"/>
          <w:spacing w:val="2"/>
          <w:sz w:val="28"/>
          <w:szCs w:val="28"/>
        </w:rPr>
        <w:t xml:space="preserve">масла</w:t>
      </w:r>
      <w:r>
        <w:rPr>
          <w:color w:val="000000" w:themeColor="text1"/>
          <w:spacing w:val="1"/>
          <w:sz w:val="28"/>
          <w:szCs w:val="28"/>
        </w:rPr>
        <w:t xml:space="preserve">. Забруднюючі речовини – масло мінеральне нафтове (веретенне, машинне, циліндрове і ін.).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Джерела викиду №№ 47, 48, 49 – організовані – дихальні клапани від ємностей для хімреагентів.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зливі, наливі та зберіганні інгібітора корозії. Забруднюючі речовини – інгібітор корозії </w:t>
      </w:r>
      <w:r>
        <w:rPr>
          <w:color w:val="000000" w:themeColor="text1"/>
          <w:spacing w:val="1"/>
          <w:sz w:val="28"/>
          <w:szCs w:val="28"/>
        </w:rPr>
        <w:t xml:space="preserve">«</w:t>
      </w:r>
      <w:r>
        <w:rPr>
          <w:color w:val="000000" w:themeColor="text1"/>
          <w:spacing w:val="1"/>
          <w:sz w:val="28"/>
          <w:szCs w:val="28"/>
        </w:rPr>
        <w:t xml:space="preserve">Нефтехим-1</w:t>
      </w:r>
      <w:r>
        <w:rPr>
          <w:color w:val="000000" w:themeColor="text1"/>
          <w:spacing w:val="1"/>
          <w:sz w:val="28"/>
          <w:szCs w:val="28"/>
        </w:rPr>
        <w:t xml:space="preserve">»</w:t>
      </w:r>
      <w:r>
        <w:rPr>
          <w:color w:val="000000" w:themeColor="text1"/>
          <w:spacing w:val="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50 – неорганізоване – люк від бочки з реагентом V = 1 м</w:t>
      </w:r>
      <w:r>
        <w:rPr>
          <w:color w:val="000000" w:themeColor="text1"/>
          <w:spacing w:val="2"/>
          <w:sz w:val="28"/>
          <w:szCs w:val="28"/>
          <w:vertAlign w:val="superscript"/>
        </w:rPr>
        <w:t xml:space="preserve">3 </w:t>
      </w:r>
      <w:r>
        <w:rPr>
          <w:color w:val="000000" w:themeColor="text1"/>
          <w:spacing w:val="2"/>
          <w:sz w:val="28"/>
          <w:szCs w:val="28"/>
        </w:rPr>
        <w:t xml:space="preserve">для нейтралізації парів кислоти, якою наповнені ємності кислотного складу. Кислотний склад включає три ємності для соляної кислоти V = </w:t>
      </w:r>
      <w:r>
        <w:rPr>
          <w:color w:val="000000" w:themeColor="text1"/>
          <w:spacing w:val="2"/>
          <w:sz w:val="28"/>
          <w:szCs w:val="28"/>
        </w:rPr>
        <w:t xml:space="preserve">25 м</w:t>
      </w:r>
      <w:r>
        <w:rPr>
          <w:color w:val="000000" w:themeColor="text1"/>
          <w:spacing w:val="2"/>
          <w:sz w:val="28"/>
          <w:szCs w:val="28"/>
          <w:vertAlign w:val="superscript"/>
        </w:rPr>
        <w:t xml:space="preserve">3</w:t>
      </w:r>
      <w:r>
        <w:rPr>
          <w:color w:val="000000" w:themeColor="text1"/>
          <w:spacing w:val="2"/>
          <w:sz w:val="28"/>
          <w:szCs w:val="28"/>
        </w:rPr>
        <w:t xml:space="preserve">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зливі, наливі та зберіганні хімреагентів. Забруднюючі речовини – хлористий водень.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Джерела викиду №№ 51, 52, 53 – організовані – дихальні клапани від ємностей для хімреагентів.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зливі, наливі та зберіганні інгібітора корозії. Забруднюючі речовини – інгібітор корозії </w:t>
      </w:r>
      <w:r>
        <w:rPr>
          <w:color w:val="000000" w:themeColor="text1"/>
          <w:spacing w:val="1"/>
          <w:sz w:val="28"/>
          <w:szCs w:val="28"/>
        </w:rPr>
        <w:t xml:space="preserve">«</w:t>
      </w:r>
      <w:r>
        <w:rPr>
          <w:color w:val="000000" w:themeColor="text1"/>
          <w:spacing w:val="1"/>
          <w:sz w:val="28"/>
          <w:szCs w:val="28"/>
        </w:rPr>
        <w:t xml:space="preserve">Нефтехим-1</w:t>
      </w:r>
      <w:r>
        <w:rPr>
          <w:color w:val="000000" w:themeColor="text1"/>
          <w:spacing w:val="1"/>
          <w:sz w:val="28"/>
          <w:szCs w:val="28"/>
        </w:rPr>
        <w:t xml:space="preserve">»</w:t>
      </w:r>
      <w:r>
        <w:rPr>
          <w:color w:val="000000" w:themeColor="text1"/>
          <w:spacing w:val="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54 – неорганізоване – естакада нижнього зливу з цистерн нафтопродуктів (дизпаливо, пічне паливо, бензин).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 </w:t>
      </w:r>
      <w:r>
        <w:rPr>
          <w:color w:val="000000" w:themeColor="text1"/>
          <w:spacing w:val="2"/>
          <w:sz w:val="28"/>
          <w:szCs w:val="28"/>
        </w:rPr>
        <w:t xml:space="preserve">нафтопродуктів</w:t>
      </w:r>
      <w:r>
        <w:rPr>
          <w:color w:val="000000" w:themeColor="text1"/>
          <w:spacing w:val="1"/>
          <w:sz w:val="28"/>
          <w:szCs w:val="28"/>
        </w:rPr>
        <w:t xml:space="preserve"> з залізнодорожної цистерни. Забруднюючі речовини – бензин (нафтовий, малосірчистий, у перерахунку на вуглець), вуглеводні насичені С</w:t>
      </w:r>
      <w:r>
        <w:rPr>
          <w:color w:val="000000" w:themeColor="text1"/>
          <w:spacing w:val="1"/>
          <w:sz w:val="28"/>
          <w:szCs w:val="28"/>
          <w:vertAlign w:val="subscript"/>
        </w:rPr>
        <w:t xml:space="preserve">12</w:t>
      </w:r>
      <w:r>
        <w:rPr>
          <w:color w:val="000000" w:themeColor="text1"/>
          <w:spacing w:val="1"/>
          <w:sz w:val="28"/>
          <w:szCs w:val="28"/>
        </w:rPr>
        <w:t xml:space="preserve">-С</w:t>
      </w:r>
      <w:r>
        <w:rPr>
          <w:color w:val="000000" w:themeColor="text1"/>
          <w:spacing w:val="1"/>
          <w:sz w:val="28"/>
          <w:szCs w:val="28"/>
          <w:vertAlign w:val="subscript"/>
        </w:rPr>
        <w:t xml:space="preserve">19</w:t>
      </w:r>
      <w:r>
        <w:rPr>
          <w:color w:val="000000" w:themeColor="text1"/>
          <w:spacing w:val="1"/>
          <w:sz w:val="28"/>
          <w:szCs w:val="28"/>
        </w:rPr>
        <w:t xml:space="preserve">  (розчинник РПК-26611 і ін.).</w:t>
      </w:r>
      <w:r>
        <w:rPr>
          <w:color w:val="000000" w:themeColor="text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Джерело викиду № 55 – неорганізоване – естакада нижнього зливу масла  з цистерн. </w:t>
      </w:r>
      <w:r>
        <w:rPr>
          <w:color w:val="000000" w:themeColor="text1"/>
          <w:spacing w:val="1"/>
          <w:sz w:val="28"/>
          <w:szCs w:val="28"/>
        </w:rPr>
        <w:t xml:space="preserve">Викиди в атмосферу відбуваються при зливі </w:t>
      </w:r>
      <w:r>
        <w:rPr>
          <w:color w:val="000000" w:themeColor="text1"/>
          <w:spacing w:val="2"/>
          <w:sz w:val="28"/>
          <w:szCs w:val="28"/>
        </w:rPr>
        <w:t xml:space="preserve">нафтопродуктів</w:t>
      </w:r>
      <w:r>
        <w:rPr>
          <w:color w:val="000000" w:themeColor="text1"/>
          <w:spacing w:val="1"/>
          <w:sz w:val="28"/>
          <w:szCs w:val="28"/>
        </w:rPr>
        <w:t xml:space="preserve"> з залізодорожної цистерни. Забруднюючі речовини – масло мінеральне нафтове (веретенне, машинне, циліндрове і ін.).</w:t>
      </w:r>
      <w:r>
        <w:rPr>
          <w:color w:val="000000" w:themeColor="text1"/>
          <w:spacing w:val="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Автозаправна станція</w:t>
      </w:r>
      <w:r>
        <w:rPr>
          <w:sz w:val="28"/>
          <w:szCs w:val="28"/>
          <w:u w:val="single"/>
        </w:rPr>
        <w:t xml:space="preserve"> АЗС</w:t>
      </w:r>
      <w:r>
        <w:rPr>
          <w:sz w:val="28"/>
          <w:szCs w:val="28"/>
          <w:u w:val="single"/>
        </w:rPr>
        <w:t xml:space="preserve"> (Прилуки)</w:t>
      </w:r>
      <w:r>
        <w:rPr>
          <w:sz w:val="28"/>
          <w:szCs w:val="28"/>
          <w:u w:val="single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lang w:eastAsia="ru-RU"/>
        </w:rPr>
      </w:pPr>
      <w:r>
        <w:rPr>
          <w:spacing w:val="2"/>
          <w:sz w:val="28"/>
        </w:rPr>
        <w:t xml:space="preserve">Джерела викидів №№ 56-61 – організовані – дихальні клапани ємностей бензину</w:t>
      </w:r>
      <w:r>
        <w:rPr>
          <w:spacing w:val="1"/>
          <w:sz w:val="28"/>
        </w:rPr>
        <w:t xml:space="preserve">. Викиди в атмосферу відбуваються при зливі, наливі та зберіганні бензину. Забруднюючі речовини – бензин (нафтовий, малосірчистий, у перерахунку на вуглець).</w:t>
      </w:r>
      <w:r>
        <w:rPr>
          <w:sz w:val="28"/>
          <w:lang w:eastAsia="ru-RU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</w:rPr>
      </w:pPr>
      <w:r>
        <w:rPr>
          <w:spacing w:val="2"/>
          <w:sz w:val="28"/>
        </w:rPr>
        <w:t xml:space="preserve">Джерела викидів №№ 62, 63 – організовані – дихальний клапан ємностей дизпалива</w:t>
      </w:r>
      <w:r>
        <w:rPr>
          <w:spacing w:val="1"/>
          <w:sz w:val="28"/>
        </w:rPr>
        <w:t xml:space="preserve">. Викиди в атмосферу відбуваються при зливі, наливі та зберіганні дизпалива. Забруднюючі речовини – вуглеводні насичені С</w:t>
      </w:r>
      <w:r>
        <w:rPr>
          <w:spacing w:val="1"/>
          <w:sz w:val="28"/>
          <w:vertAlign w:val="subscript"/>
        </w:rPr>
        <w:t xml:space="preserve">12</w:t>
      </w:r>
      <w:r>
        <w:rPr>
          <w:spacing w:val="1"/>
          <w:sz w:val="28"/>
        </w:rPr>
        <w:t xml:space="preserve">-С</w:t>
      </w:r>
      <w:r>
        <w:rPr>
          <w:spacing w:val="1"/>
          <w:sz w:val="28"/>
          <w:vertAlign w:val="subscript"/>
        </w:rPr>
        <w:t xml:space="preserve">19</w:t>
      </w:r>
      <w:r>
        <w:rPr>
          <w:spacing w:val="1"/>
          <w:sz w:val="28"/>
        </w:rPr>
        <w:t xml:space="preserve">.</w:t>
      </w:r>
      <w:r>
        <w:rPr>
          <w:sz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</w:rPr>
      </w:pPr>
      <w:r>
        <w:rPr>
          <w:spacing w:val="2"/>
          <w:sz w:val="28"/>
        </w:rPr>
        <w:t xml:space="preserve">Джерела викидів №№ 64, 65, 66, 67 – неорганізовані – паливороздавальні колонки бензину. </w:t>
      </w:r>
      <w:r>
        <w:rPr>
          <w:spacing w:val="1"/>
          <w:sz w:val="28"/>
        </w:rPr>
        <w:t xml:space="preserve">Викиди в атмосферу відбуваються при заправці автотранспорта нафтопродуктами. Забруднюючі речовини – бензин (нафтовий, малосірчистий, у перерахунку на вуглець).</w:t>
      </w:r>
      <w:r>
        <w:rPr>
          <w:sz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</w:rPr>
      </w:pPr>
      <w:r>
        <w:rPr>
          <w:spacing w:val="2"/>
          <w:sz w:val="28"/>
        </w:rPr>
        <w:t xml:space="preserve">Джерела викидів №№ 68, 69 – неорганізовані – паливороздавальні колонки дизпалива. </w:t>
      </w:r>
      <w:r>
        <w:rPr>
          <w:spacing w:val="1"/>
          <w:sz w:val="28"/>
        </w:rPr>
        <w:t xml:space="preserve">Викиди в атмосферу відбуваються при заправці автотранспорта нафтопродуктами. Забруднюючі речовини – вуглеводні насичені С</w:t>
      </w:r>
      <w:r>
        <w:rPr>
          <w:spacing w:val="1"/>
          <w:sz w:val="28"/>
          <w:vertAlign w:val="subscript"/>
        </w:rPr>
        <w:t xml:space="preserve">12</w:t>
      </w:r>
      <w:r>
        <w:rPr>
          <w:spacing w:val="1"/>
          <w:sz w:val="28"/>
        </w:rPr>
        <w:t xml:space="preserve">-С</w:t>
      </w:r>
      <w:r>
        <w:rPr>
          <w:spacing w:val="1"/>
          <w:sz w:val="28"/>
          <w:vertAlign w:val="subscript"/>
        </w:rPr>
        <w:t xml:space="preserve">19</w:t>
      </w:r>
      <w:r>
        <w:rPr>
          <w:spacing w:val="1"/>
          <w:sz w:val="28"/>
        </w:rPr>
        <w:t xml:space="preserve">.</w:t>
      </w:r>
      <w:r>
        <w:rPr>
          <w:sz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pBdr/>
        <w:shd w:val="clear" w:color="auto" w:fill="ffffff"/>
        <w:spacing w:after="120" w:before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 та місце розташування виробництв та технологічного  устаткування, на яких повинні впроваджуватися найкращі доступні технології та методи керування</w:t>
      </w:r>
      <w:r>
        <w:rPr>
          <w:b/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проммайданчиках ГСЛ (Прилуки), ПРЦЕО, АЗС (Прилуки) не виявлено виробництв та технологічного  устаткування, на яких повинні впроваджуватися найкращі доступні технології та методи керування.</w:t>
      </w:r>
      <w:r>
        <w:rPr>
          <w:sz w:val="28"/>
          <w:szCs w:val="28"/>
        </w:rPr>
      </w:r>
    </w:p>
    <w:p>
      <w:pPr>
        <w:pBdr/>
        <w:shd w:val="clear" w:color="auto" w:fill="ffffff"/>
        <w:spacing w:after="120" w:before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Значення проектної та фактичної виробничої потужності та продуктивності технологічного устаткування, режим роботи устаткування, баланс часу роботи устаткування</w:t>
      </w:r>
      <w:r>
        <w:rPr>
          <w:b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2"/>
        <w:gridCol w:w="2807"/>
        <w:gridCol w:w="858"/>
        <w:gridCol w:w="1070"/>
        <w:gridCol w:w="1103"/>
        <w:gridCol w:w="1573"/>
        <w:gridCol w:w="1334"/>
      </w:tblGrid>
      <w:tr>
        <w:trPr>
          <w:trHeight w:val="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Поряд-ковий номер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Найменування обладнання  і параметрів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Один. виміру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Потужність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Режим роботи устатку-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вання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Баланс часу роботи устатку-вання,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 w:firstLine="72"/>
              <w:rPr/>
            </w:pPr>
            <w:r>
              <w:t xml:space="preserve">Котел КСВа-3,15-Ге «ЭКО»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3,15 МВт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3,15 МВт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в опалюваль-ний період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/>
            </w:pPr>
            <w:r>
              <w:t xml:space="preserve">Котел «Термакс»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3,15 МВт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3,15 МВт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в опалюваль-ний період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/>
            </w:pPr>
            <w:r>
              <w:t xml:space="preserve">Котел Е-1,0/0,9 ст. №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 МВт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 МВт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в опалюваль-ний період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резервний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/>
            </w:pPr>
            <w:r>
              <w:t xml:space="preserve">Котел Е-1,0/0,9 ст. №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 МВт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 МВт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в опалюваль-ний період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резервний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lang w:val="en-US"/>
              </w:rPr>
            </w:pPr>
            <w:r>
              <w:t xml:space="preserve">Заточний верстат</w:t>
            </w:r>
            <w:r>
              <w:rPr>
                <w:lang w:val="en-US"/>
              </w:rPr>
              <w:t xml:space="preserve"> 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rPr>
                <w:lang w:val="en-US"/>
              </w:rPr>
              <w:t xml:space="preserve">2</w:t>
            </w:r>
            <w:r>
              <w:t xml:space="preserve">,3кВт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rPr>
                <w:lang w:val="en-US"/>
              </w:rPr>
              <w:t xml:space="preserve">2</w:t>
            </w:r>
            <w:r>
              <w:t xml:space="preserve">,3кВт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  <w:lang w:val="en-US"/>
              </w:rPr>
              <w:t xml:space="preserve"> </w:t>
            </w:r>
            <w:r>
              <w:rPr>
                <w:sz w:val="22"/>
                <w:szCs w:val="22"/>
              </w:rPr>
              <w:t xml:space="preserve">денний час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lang w:val="en-US"/>
              </w:rPr>
            </w:pPr>
            <w:r>
              <w:t xml:space="preserve">Заточний верстат</w:t>
            </w:r>
            <w:r>
              <w:rPr>
                <w:lang w:val="en-US"/>
              </w:rPr>
              <w:t xml:space="preserve"> 2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2,3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2,3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  <w:lang w:val="en-US"/>
              </w:rPr>
              <w:t xml:space="preserve"> </w:t>
            </w:r>
            <w:r>
              <w:rPr>
                <w:sz w:val="22"/>
                <w:szCs w:val="22"/>
              </w:rPr>
              <w:t xml:space="preserve">денний час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lang w:val="en-US"/>
              </w:rPr>
            </w:pPr>
            <w:r>
              <w:t xml:space="preserve">Зварювальний агрегат</w:t>
            </w:r>
            <w:r>
              <w:rPr>
                <w:lang w:val="en-US"/>
              </w:rPr>
              <w:t xml:space="preserve"> 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500 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500 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  <w:lang w:val="en-US"/>
              </w:rPr>
              <w:t xml:space="preserve"> </w:t>
            </w:r>
            <w:r>
              <w:rPr>
                <w:sz w:val="22"/>
                <w:szCs w:val="22"/>
              </w:rPr>
              <w:t xml:space="preserve">денний час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lang w:val="en-US"/>
              </w:rPr>
            </w:pPr>
            <w:r>
              <w:t xml:space="preserve">Зварювальний агрегат</w:t>
            </w:r>
            <w:r>
              <w:rPr>
                <w:lang w:val="en-US"/>
              </w:rPr>
              <w:t xml:space="preserve"> 2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300 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300 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  <w:lang w:val="en-US"/>
              </w:rPr>
              <w:t xml:space="preserve"> </w:t>
            </w:r>
            <w:r>
              <w:rPr>
                <w:sz w:val="22"/>
                <w:szCs w:val="22"/>
              </w:rPr>
              <w:t xml:space="preserve">денний час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lang w:val="en-US"/>
              </w:rPr>
            </w:pPr>
            <w:r>
              <w:t xml:space="preserve">Зварювальний агрегат</w:t>
            </w:r>
            <w:r>
              <w:rPr>
                <w:lang w:val="en-US"/>
              </w:rPr>
              <w:t xml:space="preserve"> 3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500 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500 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  <w:lang w:val="en-US"/>
              </w:rPr>
              <w:t xml:space="preserve"> </w:t>
            </w:r>
            <w:r>
              <w:rPr>
                <w:sz w:val="22"/>
                <w:szCs w:val="22"/>
              </w:rPr>
              <w:t xml:space="preserve">денний час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/>
            </w:pPr>
            <w:r>
              <w:t xml:space="preserve">Деревообробний верстат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rPr>
                <w:lang w:val="ru-RU"/>
              </w:rPr>
              <w:t xml:space="preserve">4.</w:t>
            </w:r>
            <w:r>
              <w:rPr>
                <w:lang w:val="en-US"/>
              </w:rPr>
              <w:t xml:space="preserve">4</w:t>
            </w:r>
            <w:r>
              <w:t xml:space="preserve">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rPr>
                <w:lang w:val="ru-RU"/>
              </w:rPr>
              <w:t xml:space="preserve">4.</w:t>
            </w:r>
            <w:r>
              <w:rPr>
                <w:lang w:val="en-US"/>
              </w:rPr>
              <w:t xml:space="preserve">4</w:t>
            </w:r>
            <w:r>
              <w:t xml:space="preserve">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  <w:lang w:val="en-US"/>
              </w:rPr>
              <w:t xml:space="preserve"> </w:t>
            </w:r>
            <w:r>
              <w:rPr>
                <w:sz w:val="22"/>
                <w:szCs w:val="22"/>
              </w:rPr>
              <w:t xml:space="preserve">денний час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/>
            </w:pPr>
            <w:r>
              <w:t xml:space="preserve">Склад цементу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40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40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  <w:lang w:val="en-US"/>
              </w:rPr>
              <w:t xml:space="preserve"> </w:t>
            </w:r>
            <w:r>
              <w:rPr>
                <w:sz w:val="22"/>
                <w:szCs w:val="22"/>
              </w:rPr>
              <w:t xml:space="preserve">денний час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Резервуар бензину </w:t>
            </w:r>
            <w:r>
              <w:rPr>
                <w:lang w:eastAsia="uk-UA"/>
              </w:rPr>
            </w:r>
          </w:p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РВС-300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300 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300 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Резервуар бензину </w:t>
            </w:r>
            <w:r>
              <w:rPr>
                <w:lang w:eastAsia="uk-UA"/>
              </w:rPr>
            </w:r>
          </w:p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РВС-1000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1000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1000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Резервуар дизпалива </w:t>
            </w:r>
            <w:r>
              <w:rPr>
                <w:lang w:eastAsia="uk-UA"/>
              </w:rPr>
            </w:r>
          </w:p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РВС-1000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1000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1000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масла  V =100м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800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800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олив V = 50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300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300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метанолу </w:t>
            </w:r>
            <w:r>
              <w:rPr>
                <w:lang w:eastAsia="uk-UA"/>
              </w:rPr>
            </w:r>
          </w:p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V = 50м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120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120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хімреагентів </w:t>
            </w:r>
            <w:r>
              <w:rPr>
                <w:lang w:eastAsia="uk-UA"/>
              </w:rPr>
            </w:r>
          </w:p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V = 100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300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300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хімреагентів </w:t>
            </w:r>
            <w:r>
              <w:rPr>
                <w:lang w:eastAsia="uk-UA"/>
              </w:rPr>
            </w:r>
          </w:p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V = 50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 хімреагентів </w:t>
            </w:r>
            <w:r>
              <w:rPr>
                <w:lang w:eastAsia="uk-UA"/>
              </w:rPr>
            </w:r>
          </w:p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V = 25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 хімреагентів  </w:t>
            </w:r>
            <w:r>
              <w:rPr>
                <w:lang w:eastAsia="uk-UA"/>
              </w:rPr>
            </w:r>
          </w:p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V = 10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10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2"/>
        <w:gridCol w:w="2809"/>
        <w:gridCol w:w="859"/>
        <w:gridCol w:w="1071"/>
        <w:gridCol w:w="1103"/>
        <w:gridCol w:w="1573"/>
        <w:gridCol w:w="133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Ємності  соляної кислоти V = 25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  <w:t xml:space="preserve"> 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75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75</w:t>
            </w:r>
            <w:r>
              <w:rPr>
                <w:lang w:val="en-US"/>
              </w:rPr>
              <w:t xml:space="preserve"> </w:t>
            </w: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t xml:space="preserve">постійно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Насос перекачування масла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22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22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Насос перекачування метанолу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11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11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Насос перекачування бензину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33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33 кВт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1 бензин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2 бензин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3 бензин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4 бензин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5 бензин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№6 бензин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8 дизпаливо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9 дизпаливо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Паливороздавальна колонка Шельф 100-2ВК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6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50/90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50/90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періодично</w:t>
            </w:r>
            <w:r>
              <w:rPr>
                <w:sz w:val="22"/>
                <w:szCs w:val="22"/>
              </w:rPr>
              <w:t xml:space="preserve"> за потребою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8760</w:t>
            </w: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pBdr/>
        <w:shd w:val="clear" w:color="auto" w:fill="ffffff"/>
        <w:spacing w:after="120" w:before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Терміни введення в експлуатацію технологічного устаткування, нормативний строк його амортизації, дата проведення останньої реконструкції або модернізації технологічного устаткування</w:t>
      </w:r>
      <w:r>
        <w:rPr>
          <w:b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2"/>
        <w:gridCol w:w="3929"/>
        <w:gridCol w:w="708"/>
        <w:gridCol w:w="1413"/>
        <w:gridCol w:w="961"/>
        <w:gridCol w:w="173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Поряд-ковий номер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Найменування обладнання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Кіль-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кість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Термін введення в експлуа-тацію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Норма-тивний строк аморти-зації, рік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проведення останньої реконструкції або модернізації технологічного устаткування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 w:firstLine="72"/>
              <w:rPr/>
            </w:pPr>
            <w:r>
              <w:t xml:space="preserve">Котел КСВа-3,15-Ге «ЭКО»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31.05.15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не проводилось*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/>
            </w:pPr>
            <w:r>
              <w:t xml:space="preserve">Котел «Термакс»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01.09.83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2015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/>
            </w:pPr>
            <w:r>
              <w:t xml:space="preserve">Котел Е-1,0/0,9 ст. №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23.12.91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/>
            </w:pPr>
            <w:r>
              <w:t xml:space="preserve">Котел Е-1,0/0,9 ст. №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20.10.93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lang w:val="en-US"/>
              </w:rPr>
            </w:pPr>
            <w:r>
              <w:t xml:space="preserve">Заточний верстат</w:t>
            </w:r>
            <w:r>
              <w:rPr>
                <w:lang w:val="en-US"/>
              </w:rPr>
              <w:t xml:space="preserve"> 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01.04.91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lang w:val="en-US"/>
              </w:rPr>
            </w:pPr>
            <w:r>
              <w:t xml:space="preserve">Заточний верстат</w:t>
            </w:r>
            <w:r>
              <w:rPr>
                <w:lang w:val="en-US"/>
              </w:rPr>
              <w:t xml:space="preserve"> 2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01.04.91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lang w:val="en-US"/>
              </w:rPr>
            </w:pPr>
            <w:r>
              <w:t xml:space="preserve">Зварювальний агрегат</w:t>
            </w:r>
            <w:r>
              <w:rPr>
                <w:lang w:val="en-US"/>
              </w:rPr>
              <w:t xml:space="preserve"> 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01.10.93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lang w:val="en-US"/>
              </w:rPr>
            </w:pPr>
            <w:r>
              <w:t xml:space="preserve">Зварювальний агрегат</w:t>
            </w:r>
            <w:r>
              <w:rPr>
                <w:lang w:val="en-US"/>
              </w:rPr>
              <w:t xml:space="preserve"> 2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01.06.97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lang w:val="en-US"/>
              </w:rPr>
            </w:pPr>
            <w:r>
              <w:t xml:space="preserve">Зварювальний агрегат</w:t>
            </w:r>
            <w:r>
              <w:rPr>
                <w:lang w:val="en-US"/>
              </w:rPr>
              <w:t xml:space="preserve"> 3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01.10.01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/>
            </w:pPr>
            <w:r>
              <w:t xml:space="preserve">Деревообробний верстат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02.1995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</w:tbl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9"/>
        <w:gridCol w:w="3930"/>
        <w:gridCol w:w="709"/>
        <w:gridCol w:w="1413"/>
        <w:gridCol w:w="961"/>
        <w:gridCol w:w="17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/>
            </w:pPr>
            <w:r>
              <w:t xml:space="preserve">Склад цементу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04.1972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 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Резервуар бензину РВС-300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12.1989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Резервуар бензину РВС-1000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12.1996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Резервуар дизпалива РВС-1000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12.1996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масла  V = 100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12.1996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олив V = 50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11.1992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метанолу V = 50</w:t>
            </w:r>
            <w:r>
              <w:rPr>
                <w:lang w:val="en-US" w:eastAsia="uk-UA"/>
              </w:rPr>
              <w:t xml:space="preserve"> </w:t>
            </w:r>
            <w:r>
              <w:rPr>
                <w:lang w:eastAsia="uk-UA"/>
              </w:rPr>
              <w:t xml:space="preserve">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10.1993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хімреагентів V = 100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12.1996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хімреагентів V = 50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12.1988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 хімреагентів V = 25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01.1994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 хімреагентів  V = 10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08.2003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Ємності  соляної кислоти V = 25 м</w:t>
            </w:r>
            <w:r>
              <w:rPr>
                <w:vertAlign w:val="superscript"/>
                <w:lang w:eastAsia="uk-UA"/>
              </w:rPr>
              <w:t xml:space="preserve">3</w:t>
            </w:r>
            <w:r>
              <w:rPr>
                <w:lang w:eastAsia="uk-UA"/>
              </w:rPr>
              <w:t xml:space="preserve"> 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08.1991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12.2013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Насос перекачування масла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12.1990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Насос перекачування метанолу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03.1996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Насос перекачування бензину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12.1996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1 бензин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01.10.1979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2 бензин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01.10.1972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52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3 бензин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01.10.1979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4 бензин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01.03.1980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5 бензин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01.04.1975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№6 бензин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01.041975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8 дизпаливо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01.03.1993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Ємність № 9 дизпаливо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01.03.1979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Паливороздавальна колонка Шельф 100-2ВК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6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4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При вводі в експл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 проводилось*</w:t>
            </w:r>
            <w:r/>
          </w:p>
        </w:tc>
      </w:tr>
    </w:tbl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*Реконструкція або модернізація обладнання не проводилась. Обладнання знаходиться в справному стані, поточний ремонт проводиться відповідно з графіком обслуговування.</w:t>
      </w:r>
      <w:r>
        <w:rPr>
          <w:sz w:val="22"/>
          <w:szCs w:val="22"/>
        </w:rPr>
      </w:r>
    </w:p>
    <w:p>
      <w:pPr>
        <w:pStyle w:val="772"/>
        <w:pBdr/>
        <w:spacing/>
        <w:ind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  <w:r>
        <w:rPr>
          <w:sz w:val="22"/>
          <w:szCs w:val="22"/>
          <w:lang w:val="uk-UA"/>
        </w:rPr>
      </w:r>
    </w:p>
    <w:p>
      <w:pPr>
        <w:pBdr/>
        <w:spacing/>
        <w:ind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</w:r>
      <w:r>
        <w:rPr>
          <w:color w:val="2e74b5" w:themeColor="accent1" w:themeShade="BF"/>
          <w:sz w:val="28"/>
          <w:szCs w:val="28"/>
        </w:rPr>
      </w:r>
    </w:p>
    <w:p>
      <w:pPr>
        <w:pBdr/>
        <w:spacing/>
        <w:ind/>
        <w:rPr>
          <w:color w:val="2e74b5" w:themeColor="accent1" w:themeShade="BF"/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20" w:equalWidth="1"/>
        </w:sectPr>
      </w:pPr>
      <w:r>
        <w:rPr>
          <w:color w:val="2e74b5" w:themeColor="accent1" w:themeShade="BF"/>
          <w:sz w:val="28"/>
          <w:szCs w:val="28"/>
        </w:rPr>
      </w:r>
      <w:r>
        <w:rPr>
          <w:color w:val="2e74b5" w:themeColor="accent1" w:themeShade="BF"/>
          <w:sz w:val="28"/>
          <w:szCs w:val="28"/>
        </w:rPr>
      </w:r>
    </w:p>
    <w:p>
      <w:pPr>
        <w:pStyle w:val="752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7" w:name="_Toc153194150"/>
      <w:r>
        <w:rPr>
          <w:b/>
          <w:bCs/>
          <w:sz w:val="28"/>
          <w:szCs w:val="28"/>
          <w:u w:val="none"/>
          <w:lang w:val="uk-UA"/>
        </w:rPr>
        <w:t xml:space="preserve">4</w:t>
      </w:r>
      <w:r>
        <w:rPr>
          <w:b/>
          <w:bCs/>
          <w:sz w:val="28"/>
          <w:szCs w:val="28"/>
          <w:u w:val="none"/>
          <w:lang w:val="uk-UA"/>
        </w:rPr>
        <w:t xml:space="preserve"> Відомості щодо виду та обсягів викидів забруднюючих речовин в атмосферне повітря стаціонарними джерелами</w:t>
      </w:r>
      <w:bookmarkEnd w:id="7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 відомостях щодо виду та обсягів викидів забруднюючих речовин в атмосферне повітря стаціонарними джерелами наводяться дані, які отримані в результаті проведення інвентаризації викидів забруднюючих речовин на об'єкті, шляхом систематизації інфор</w:t>
      </w:r>
      <w:r>
        <w:rPr>
          <w:sz w:val="28"/>
          <w:szCs w:val="28"/>
          <w:lang w:eastAsia="ru-RU"/>
        </w:rPr>
        <w:t xml:space="preserve">мації стосовно розміщення джерел утворення та викидів, видів і кількості забруднюючих речовин, що надходять з таких джерел в атмосферне повітря, пилогазоочисного обладнання, а також даних, які є складовою документів, в яких обґрунтовуються обсяги викидів.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Перелік видів та обсягів забруднюючих речовин, які викидаються в атмосферне повітря стаціонарними джерелами</w:t>
      </w:r>
      <w:r>
        <w:rPr>
          <w:b/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Відповідно до Переліку найбільш поширених і небезпечних забруднюючих речовин, викиди яких в атмосферне повітря підлягають регулюванню, затвердженого постановою Кабінету Міністрів України від 29.11.2001 № 1598 </w:t>
      </w:r>
      <w:r>
        <w:rPr>
          <w:bCs/>
          <w:sz w:val="28"/>
          <w:szCs w:val="28"/>
        </w:rPr>
        <w:t xml:space="preserve">[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]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та Переліку забруднюючих речовин та порогових значень потенційних викидів, за якими здійснюється державний облік (додаток 1 до Інструкції про порядок та критерії взяття на державний облік об'єктів, які справляють або можуть справити шкідливий вплив на здо</w:t>
      </w:r>
      <w:r>
        <w:rPr>
          <w:sz w:val="28"/>
          <w:szCs w:val="28"/>
          <w:lang w:eastAsia="ru-RU"/>
        </w:rPr>
        <w:t xml:space="preserve">ров'я людей і стан атмосферного повітря, видів та обсягів забруднюючих речовин, що викидаються в атмосферне повітря, затвердженої наказом Мінекоресурсів України від 10.05.2002 № 177 та зареєстрованої у Міністерстві юстиції України 22.05.2002 за № 445/6733 </w:t>
      </w:r>
      <w:r>
        <w:rPr>
          <w:bCs/>
          <w:sz w:val="28"/>
          <w:szCs w:val="28"/>
        </w:rPr>
        <w:t xml:space="preserve">[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]</w:t>
      </w:r>
      <w:r>
        <w:rPr>
          <w:sz w:val="28"/>
          <w:szCs w:val="28"/>
          <w:lang w:eastAsia="ru-RU"/>
        </w:rPr>
        <w:t xml:space="preserve">), надаються: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 перелік найбільш поширених забруднюючих речовин та їх обсяги, викиди яких підлягають регулюванню та за якими здійснюється державний облік;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 перелік небезпечних забруднюючих речовин та їх обсяги, викиди яких підлягають регулюванню та за якими здійснюється державний облік;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 перелік інших забруднюючих речовин та їх обсяги, які викидаються в атмосферне повітря стаціонарними джерелами об'єкта;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 перелік забруднюючих речовин та їх обсяги, для яких не встановлені ГДК (ОБРД), в атмосферному повітрі населених міст.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Відповідно до Переліку забруднюючих речовин та порогових значень потенційних викидів, за якими здійснюється державний облік </w:t>
      </w:r>
      <w:r>
        <w:rPr>
          <w:sz w:val="28"/>
          <w:szCs w:val="28"/>
        </w:rPr>
        <w:t xml:space="preserve">[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]) </w:t>
      </w:r>
      <w:r>
        <w:rPr>
          <w:b/>
          <w:bCs/>
          <w:sz w:val="28"/>
          <w:szCs w:val="28"/>
        </w:rPr>
        <w:t xml:space="preserve">підприємство підлягає постановці на державний облік у галузі охорони атмосферного повітря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</w:rPr>
        <w:t xml:space="preserve">Перелік видів та обсягів забруднюючих речовин, які викидаються в атмосферне повітря стаціонарними джерелами, наводяться в таблиці 6.1 згідно з додатком 6 </w:t>
      </w:r>
      <w:r>
        <w:rPr>
          <w:sz w:val="28"/>
          <w:szCs w:val="28"/>
          <w:lang w:eastAsia="uk-UA"/>
        </w:rPr>
        <w:t xml:space="preserve">до </w:t>
      </w:r>
      <w:r>
        <w:rPr>
          <w:bCs/>
          <w:sz w:val="28"/>
          <w:szCs w:val="28"/>
        </w:rPr>
        <w:t xml:space="preserve">Інструкції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[12</w:t>
      </w:r>
      <w:r>
        <w:rPr>
          <w:bCs/>
          <w:sz w:val="28"/>
          <w:szCs w:val="28"/>
        </w:rPr>
        <w:t xml:space="preserve">].</w:t>
      </w:r>
      <w:r>
        <w:rPr>
          <w:sz w:val="28"/>
          <w:szCs w:val="28"/>
          <w:lang w:eastAsia="uk-UA"/>
        </w:rPr>
      </w:r>
    </w:p>
    <w:p>
      <w:pPr>
        <w:pStyle w:val="781"/>
        <w:pBdr/>
        <w:shd w:val="clear" w:color="auto" w:fill="ffffff"/>
        <w:spacing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Характеристика устаткування очистки газів наводиться в таблиці 6.4.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r>
    </w:p>
    <w:p>
      <w:pPr>
        <w:pBdr/>
        <w:spacing/>
        <w:ind/>
        <w:rPr>
          <w:sz w:val="28"/>
          <w:szCs w:val="28"/>
          <w:lang w:eastAsia="uk-UA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08" w:equalWidth="1"/>
        </w:sectPr>
      </w:pPr>
      <w:r>
        <w:rPr>
          <w:sz w:val="28"/>
          <w:szCs w:val="28"/>
          <w:lang w:eastAsia="uk-UA"/>
        </w:rPr>
      </w:r>
      <w:r>
        <w:rPr>
          <w:sz w:val="28"/>
          <w:szCs w:val="28"/>
          <w:lang w:eastAsia="uk-UA"/>
        </w:rPr>
      </w:r>
    </w:p>
    <w:p>
      <w:pPr>
        <w:pBdr/>
        <w:spacing w:after="120" w:before="120"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6.1 </w:t>
      </w:r>
      <w:r>
        <w:rPr>
          <w:sz w:val="28"/>
          <w:szCs w:val="28"/>
        </w:rPr>
        <w:t xml:space="preserve">– Відомості щодо виду та обсягів викидів забруднюючих речовин в атмосферне повітря стаціонарними джерелами</w:t>
      </w:r>
      <w:r>
        <w:rPr>
          <w:sz w:val="28"/>
          <w:szCs w:val="28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732"/>
        <w:gridCol w:w="3534"/>
        <w:gridCol w:w="1658"/>
        <w:gridCol w:w="1658"/>
        <w:gridCol w:w="1212"/>
      </w:tblGrid>
      <w:tr>
        <w:trPr>
          <w:trHeight w:val="75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Поряд-ковий номер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Забруднююча речовина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Фактичний обсяг викидів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т/рік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Потенційний обсяг викидів</w:t>
            </w:r>
            <w:r>
              <w:rPr>
                <w:sz w:val="22"/>
                <w:szCs w:val="22"/>
                <w:lang w:val="ru-RU"/>
              </w:rPr>
              <w:t xml:space="preserve">,</w:t>
            </w:r>
            <w:r>
              <w:rPr>
                <w:sz w:val="22"/>
                <w:szCs w:val="22"/>
                <w:lang w:val="ru-RU"/>
              </w:rPr>
              <w:br/>
              <w:t xml:space="preserve">т/рік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Порогові значення потенційних викидів для взяття на державний облік</w:t>
            </w:r>
            <w:r>
              <w:rPr>
                <w:sz w:val="22"/>
                <w:szCs w:val="22"/>
                <w:lang w:val="ru-RU"/>
              </w:rPr>
              <w:t xml:space="preserve">,</w:t>
            </w:r>
            <w:r>
              <w:rPr>
                <w:sz w:val="22"/>
                <w:szCs w:val="22"/>
                <w:lang w:val="ru-RU"/>
              </w:rPr>
              <w:br/>
              <w:t xml:space="preserve">т/рік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код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найменування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06000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Оксид вуглецю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0,6471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0,6471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1,5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07000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Вуглецю діоксид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2115,749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2115,749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500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12000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Метан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0,04983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0,04983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Метали та їх сполуки,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0,03415808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0,03415808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Титану діоксид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Залізо та його сполуки (у перерахунку на залізо)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0,1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01007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Ртуть та її сполуки в перерахунку на ртуть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0,00000408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0,00000408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0,0003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01009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Свинець та його сполуки в перерахунку на свинець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0,003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8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01104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Манган та його сполуки в перерахунку на діоксид мангану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0,00164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0,00164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0,005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03000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Речовини у вигляді суспендованих твердих частинок,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0,21618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0,21618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03000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Речовини у вигляді суспендованих твердих частинок, недиференційованих за складом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0,21618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0,21618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04000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Сполуки азоту,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3,38652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3,38652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04001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Оксиди азоту (оксид та діоксид азоту) у перерахунку на діоксид азоту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3,3824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3,3824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04002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Азоту(1) оксид (N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  <w:t xml:space="preserve">O)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0,00412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0,00412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0,1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Діоксид та інші сполуки сірки,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0,06717429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0,06717429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Діоксид сірки (діоксид та триоксид) у перерахунку на діоксид сірки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Сірководень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0,00012429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0,00012429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Сульфатна кислота (H</w:t>
            </w:r>
            <w:r>
              <w:rPr>
                <w:sz w:val="22"/>
                <w:szCs w:val="22"/>
                <w:vertAlign w:val="subscript"/>
              </w:rPr>
              <w:t xml:space="preserve">2</w:t>
            </w:r>
            <w:r>
              <w:rPr>
                <w:sz w:val="22"/>
                <w:szCs w:val="22"/>
              </w:rPr>
              <w:t xml:space="preserve">SO</w:t>
            </w:r>
            <w:r>
              <w:rPr>
                <w:sz w:val="22"/>
                <w:szCs w:val="22"/>
                <w:vertAlign w:val="subscript"/>
              </w:rPr>
              <w:t xml:space="preserve">4</w:t>
            </w:r>
            <w:r>
              <w:rPr>
                <w:sz w:val="22"/>
                <w:szCs w:val="22"/>
              </w:rPr>
              <w:t xml:space="preserve">) (cірчана кислота)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Неметанові леткі органічні сполуки,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1,860147851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1,860147851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1,5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Бутан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Бензин (нафтовий, малосірчистий, в перерахунку на вуглець)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1,6918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1,6918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17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Масло мінеральне нафтове (веретенне, машинне, циліндров.та інш.)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4,01454E-07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6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4,01454E-07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2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 xml:space="preserve">Продовження таблиці 6.1</w:t>
      </w:r>
      <w:r>
        <w:rPr>
          <w:sz w:val="28"/>
          <w:szCs w:val="28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45"/>
        <w:gridCol w:w="3576"/>
        <w:gridCol w:w="1681"/>
        <w:gridCol w:w="1681"/>
        <w:gridCol w:w="109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18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Вуглеводні насичені C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12</w:t>
            </w:r>
            <w:r>
              <w:rPr>
                <w:sz w:val="22"/>
                <w:szCs w:val="22"/>
                <w:lang w:val="ru-RU"/>
              </w:rPr>
              <w:t xml:space="preserve"> - C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19</w:t>
            </w:r>
            <w:r>
              <w:rPr>
                <w:sz w:val="22"/>
                <w:szCs w:val="22"/>
                <w:lang w:val="ru-RU"/>
              </w:rPr>
              <w:t xml:space="preserve"> (розчинник РПК-26511 та ін.) у перерахунку на сумарний органічний вуглець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0,045335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0,045335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19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Пропан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0,00023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0,00023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Етан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Інгібітор корозії </w:t>
            </w:r>
            <w:r>
              <w:rPr>
                <w:sz w:val="22"/>
                <w:szCs w:val="22"/>
                <w:lang w:val="ru-RU"/>
              </w:rPr>
              <w:t xml:space="preserve">«</w:t>
            </w:r>
            <w:r>
              <w:rPr>
                <w:sz w:val="22"/>
                <w:szCs w:val="22"/>
                <w:lang w:val="ru-RU"/>
              </w:rPr>
              <w:t xml:space="preserve">Нефтехим-1</w:t>
            </w:r>
            <w:r>
              <w:rPr>
                <w:sz w:val="22"/>
                <w:szCs w:val="22"/>
                <w:lang w:val="ru-RU"/>
              </w:rPr>
              <w:t xml:space="preserve">»</w:t>
            </w:r>
            <w:r>
              <w:rPr>
                <w:sz w:val="22"/>
                <w:szCs w:val="22"/>
                <w:lang w:val="ru-RU"/>
              </w:rPr>
              <w:t xml:space="preserve"> (талове масло-32%, гас-20%, поліетиленполі-аміди-8%, стабільний каталізатор - 10%)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Бензол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0,00006245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0,00006245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11036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Спирт метиловий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0,0064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0,0064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0,9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15000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Хлор та сполуки хлору (у перерахунку на хлор),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0,1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15003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Пароподібні та газоподібні сполуки хлору, якщо вони не ввійшли до класу I, у перерахунку на хлористий водень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0,1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16000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Фтор та його сполуки (у перерахунку на фтор),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0,05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16000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Фториди, що легко розчиняються (наприклад, NaF) та їх сполуки в перерахунку на фтор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16000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Фтористі сполуки погано розчинні неорганічні (фторид алюмінію, гексафтор-алюмінат натрію) у перерахунку на фтор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27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16001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Фтор і його пароподібні та газоподібні сполуки в перерахунку на фтористий водень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0,05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79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Усього для об’єкта/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промислового майданчика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2122,018560221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2122,018560221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45"/>
        </w:trPr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HeliosCond-Bold" w:hAnsi="HeliosCond-Bold" w:cs="HeliosCond-Bold"/>
                <w:bCs/>
                <w:i/>
              </w:rPr>
              <w:t xml:space="preserve">Перелік найбільш поширених забруднюючих речовин</w:t>
            </w:r>
            <w:r>
              <w:rPr>
                <w:i/>
                <w:iCs/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06000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Оксид вуглецю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0,6471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0,6471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1,5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Метали та їх сполуки,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4E-6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4E-6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01009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Свинець та його сполуки в перерахунку на свинець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4E-6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4E-6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0,003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03000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Речовини у вигляді суспендованих твердих частинок,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0,21618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0,21618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03000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Речовини у вигляді суспендованих твердих частинок, недиференційованих за складом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0,21618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0,21618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04000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Сполуки азоту,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3,3824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3,3824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04001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Оксиди азоту (оксид та діоксид азоту) у перерахунку на діоксид азоту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3,3824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3,3824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 xml:space="preserve">Продовження таблиці 6.1</w:t>
      </w:r>
      <w:r>
        <w:rPr>
          <w:sz w:val="28"/>
          <w:szCs w:val="28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745"/>
        <w:gridCol w:w="3574"/>
        <w:gridCol w:w="1718"/>
        <w:gridCol w:w="1718"/>
        <w:gridCol w:w="1030"/>
      </w:tblGrid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Діоксид та інші сполуки сірки,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0,06717429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0,06717429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Діоксид сірки (діоксид та триоксид) у перерахунку на діоксид сірки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Сірководень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0,00012429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0,00012429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Сульфатна кислота (H</w:t>
            </w:r>
            <w:r>
              <w:rPr>
                <w:sz w:val="22"/>
                <w:szCs w:val="22"/>
                <w:vertAlign w:val="subscript"/>
              </w:rPr>
              <w:t xml:space="preserve">2</w:t>
            </w:r>
            <w:r>
              <w:rPr>
                <w:sz w:val="22"/>
                <w:szCs w:val="22"/>
              </w:rPr>
              <w:t xml:space="preserve">SO</w:t>
            </w:r>
            <w:r>
              <w:rPr>
                <w:sz w:val="22"/>
                <w:szCs w:val="22"/>
                <w:vertAlign w:val="subscript"/>
              </w:rPr>
              <w:t xml:space="preserve">4</w:t>
            </w:r>
            <w:r>
              <w:rPr>
                <w:sz w:val="22"/>
                <w:szCs w:val="22"/>
              </w:rPr>
              <w:t xml:space="preserve">) (cірчана кислота)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Усього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4,31285829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4,31285829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90"/>
        </w:trPr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HeliosCond-Bold" w:hAnsi="HeliosCond-Bold" w:cs="HeliosCond-Bold"/>
                <w:bCs/>
                <w:i/>
              </w:rPr>
              <w:t xml:space="preserve">Перелік небезпечних забруднюючих речовин</w:t>
            </w:r>
            <w:r>
              <w:rPr>
                <w:i/>
                <w:iCs/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Метали та їх сполуки,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0,03414408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0,03414408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Залізо та його сполуки (у перерахунку на залізо)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0,0325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0,0325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0,1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01007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Ртуть та її сполуки в перерахунку на ртуть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4,08E-6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4,08E-6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0,0003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01104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Манган та його сполуки в перерахунку на діоксид мангану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0,00164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0,00164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0,005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Неметанові леткі органічні сполуки,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0,00646245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0,00646245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Бензол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0,00006245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0,00006245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11036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Спирт метиловий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0,0064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0,0064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Хлор та сполуки хлору (у перерахунку на хлор),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Пароподібні та газоподібні сполуки хлору, якщо вони не ввійшли до класу I, у перерахунку на хлористий водень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 та його сполуки (у перерахунку на фтор),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0,00145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0,00145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Фториди, що легко розчиняються (наприклад, NaF) та їх сполуки в перерахунку на фтор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 та його сполуки (у перерахунку на фтор)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 і його пароподібні та газоподібні сполуки в перерахунку на фтористий водень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Усього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0,04905653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0,04905653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HeliosCond-Bold" w:hAnsi="HeliosCond-Bold" w:cs="HeliosCond-Bold"/>
                <w:bCs/>
                <w:i/>
              </w:rPr>
              <w:t xml:space="preserve">Перелік інших забруднюючих речовин, які викидаються в атмосферне повітря </w:t>
            </w:r>
            <w:r>
              <w:rPr>
                <w:rFonts w:ascii="HeliosCond-Bold" w:hAnsi="HeliosCond-Bold" w:cs="HeliosCond-Bold"/>
                <w:bCs/>
                <w:i/>
              </w:rPr>
              <w:br/>
              <w:t xml:space="preserve">стаціонарними джерелами об’єкта / промислового майданчика</w:t>
            </w:r>
            <w:r>
              <w:rPr>
                <w:i/>
                <w:iCs/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Метали та їх сполуки,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1E-5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1E-5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Титану діоксид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1E-5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1E-5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07000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Вуглецю діоксид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2115,749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2115,749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500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12000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Метан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0,04983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0,04983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04000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Сполуки азоту,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0,00412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0,00412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04002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Азоту(1) оксид (N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  <w:t xml:space="preserve">O)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0,00412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2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0,00412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0,1</w:t>
            </w:r>
            <w:r>
              <w:rPr>
                <w:sz w:val="22"/>
                <w:szCs w:val="22"/>
                <w:lang w:val="ru-RU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Кінець </w:t>
      </w:r>
      <w:r>
        <w:rPr>
          <w:sz w:val="28"/>
          <w:szCs w:val="28"/>
        </w:rPr>
        <w:t xml:space="preserve">таблиці 6.1</w:t>
      </w:r>
      <w:r>
        <w:rPr>
          <w:sz w:val="28"/>
          <w:szCs w:val="28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764"/>
        <w:gridCol w:w="3512"/>
        <w:gridCol w:w="1726"/>
        <w:gridCol w:w="1726"/>
        <w:gridCol w:w="103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Неметанові леткі органічні сполуки,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1,853685401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1,853685401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1,5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Бутан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Бензин (нафтовий, малосірчистий, в перерахунку на вуглець)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1,6918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1,6918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Масло мінеральне нафтове (веретенне, машинне, циліндров.та інш.)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4,01454E-07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4,01454E-07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8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Вуглеводні насичені C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12</w:t>
            </w:r>
            <w:r>
              <w:rPr>
                <w:sz w:val="22"/>
                <w:szCs w:val="22"/>
                <w:lang w:val="ru-RU"/>
              </w:rPr>
              <w:t xml:space="preserve"> - C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19 </w:t>
            </w:r>
            <w:r>
              <w:rPr>
                <w:sz w:val="22"/>
                <w:szCs w:val="22"/>
                <w:lang w:val="ru-RU"/>
              </w:rPr>
              <w:t xml:space="preserve">(розчинник РПК-26511 та ін.) у перерахунку на сумарний органічний вуглець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0,045335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0,045335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Пропан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0,00023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0,00023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Етан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Інгібітор корозії </w:t>
            </w:r>
            <w:r>
              <w:rPr>
                <w:sz w:val="22"/>
                <w:szCs w:val="22"/>
                <w:lang w:val="ru-RU"/>
              </w:rPr>
              <w:t xml:space="preserve">«</w:t>
            </w:r>
            <w:r>
              <w:rPr>
                <w:sz w:val="22"/>
                <w:szCs w:val="22"/>
                <w:lang w:val="ru-RU"/>
              </w:rPr>
              <w:t xml:space="preserve">Нефтехим-1</w:t>
            </w:r>
            <w:r>
              <w:rPr>
                <w:sz w:val="22"/>
                <w:szCs w:val="22"/>
                <w:lang w:val="ru-RU"/>
              </w:rPr>
              <w:t xml:space="preserve">»</w:t>
            </w:r>
            <w:r>
              <w:rPr>
                <w:sz w:val="22"/>
                <w:szCs w:val="22"/>
                <w:lang w:val="ru-RU"/>
              </w:rPr>
              <w:t xml:space="preserve"> (талове масло-32%, гас-20%, поліетиленполіаміди-8%, стабільний каталізатор - 10%)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Усього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2117,656645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2117,656645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90"/>
        </w:trPr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rFonts w:ascii="HeliosCond-Bold" w:hAnsi="HeliosCond-Bold" w:cs="HeliosCond-Bold"/>
                <w:bCs/>
                <w:i/>
              </w:rPr>
              <w:t xml:space="preserve">Перелік забруднюючих речовин, для яких не встановлені гігієнічні регламенти допустимого вмісту хімічних і біологічних речовин в атмосферному повітрі населених місць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Вуглецю діоксид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2115,749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2115,749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500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04000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Сполуки азоту, в т.ч.: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0,00412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0,00412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04002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Азоту(1) оксид (N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2</w:t>
            </w:r>
            <w:r>
              <w:rPr>
                <w:sz w:val="22"/>
                <w:szCs w:val="22"/>
                <w:lang w:val="ru-RU"/>
              </w:rPr>
              <w:t xml:space="preserve">O)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0,00412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0,00412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0,1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Усього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2115,75312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2115,75312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</w:r>
          </w:p>
        </w:tc>
      </w:tr>
    </w:tbl>
    <w:p>
      <w:pPr>
        <w:pBdr/>
        <w:spacing/>
        <w:ind/>
        <w:jc w:val="center"/>
        <w:rPr>
          <w:rFonts w:ascii="Arial" w:hAnsi="Arial"/>
          <w:color w:val="2e74b5" w:themeColor="accent1" w:themeShade="BF"/>
        </w:rPr>
      </w:pPr>
      <w:r>
        <w:rPr>
          <w:rFonts w:ascii="Arial" w:hAnsi="Arial"/>
          <w:color w:val="2e74b5" w:themeColor="accent1" w:themeShade="BF"/>
        </w:rPr>
      </w:r>
      <w:r>
        <w:rPr>
          <w:rFonts w:ascii="Arial" w:hAnsi="Arial"/>
          <w:color w:val="2e74b5" w:themeColor="accent1" w:themeShade="BF"/>
        </w:rPr>
      </w:r>
    </w:p>
    <w:p>
      <w:pPr>
        <w:pStyle w:val="752"/>
        <w:pBdr/>
        <w:spacing/>
        <w:ind/>
        <w:rPr>
          <w:rFonts w:ascii="Arial" w:hAnsi="Arial" w:cs="Arial"/>
          <w:b/>
          <w:bCs/>
          <w:color w:val="2e74b5" w:themeColor="accent1" w:themeShade="BF"/>
          <w:sz w:val="20"/>
          <w:szCs w:val="20"/>
          <w:u w:val="none"/>
          <w:lang w:val="uk-UA"/>
        </w:rPr>
        <w:sectPr>
          <w:footnotePr/>
          <w:endnotePr/>
          <w:type w:val="nextPage"/>
          <w:pgSz w:h="16838" w:orient="portrait" w:w="11906"/>
          <w:pgMar w:top="1134" w:right="850" w:bottom="1134" w:left="1417" w:header="709" w:footer="709" w:gutter="0"/>
          <w:cols w:num="1" w:sep="0" w:space="708" w:equalWidth="1"/>
        </w:sectPr>
      </w:pPr>
      <w:r>
        <w:rPr>
          <w:rFonts w:ascii="Arial" w:hAnsi="Arial" w:cs="Arial"/>
          <w:b/>
          <w:bCs/>
          <w:color w:val="2e74b5" w:themeColor="accent1" w:themeShade="BF"/>
          <w:sz w:val="20"/>
          <w:szCs w:val="20"/>
          <w:u w:val="none"/>
          <w:lang w:val="uk-UA"/>
        </w:rPr>
      </w:r>
      <w:r>
        <w:rPr>
          <w:rFonts w:ascii="Arial" w:hAnsi="Arial" w:cs="Arial"/>
          <w:b/>
          <w:bCs/>
          <w:color w:val="2e74b5" w:themeColor="accent1" w:themeShade="BF"/>
          <w:sz w:val="20"/>
          <w:szCs w:val="20"/>
          <w:u w:val="none"/>
          <w:lang w:val="uk-UA"/>
        </w:rPr>
      </w:r>
    </w:p>
    <w:p>
      <w:pPr>
        <w:pBdr/>
        <w:spacing w:after="120" w:before="120"/>
        <w:ind w:hanging="1440" w:left="14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6.4</w:t>
      </w:r>
      <w:r>
        <w:rPr>
          <w:sz w:val="28"/>
          <w:szCs w:val="28"/>
        </w:rPr>
        <w:t xml:space="preserve"> – Характеристика установок очистки газів</w:t>
      </w:r>
      <w:r>
        <w:rPr>
          <w:sz w:val="28"/>
          <w:szCs w:val="28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936"/>
        <w:gridCol w:w="844"/>
        <w:gridCol w:w="619"/>
        <w:gridCol w:w="766"/>
        <w:gridCol w:w="2112"/>
        <w:gridCol w:w="946"/>
        <w:gridCol w:w="1497"/>
        <w:gridCol w:w="879"/>
        <w:gridCol w:w="931"/>
        <w:gridCol w:w="1041"/>
        <w:gridCol w:w="879"/>
        <w:gridCol w:w="900"/>
        <w:gridCol w:w="1042"/>
        <w:gridCol w:w="1158"/>
      </w:tblGrid>
      <w:tr>
        <w:trPr>
          <w:trHeight w:val="3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джерела викиду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Найме-нуван-ня ГОУ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02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Забруднюючі речовини, за якими проводиться газоочистка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Ступень очи-щення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4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 та тип установки очистки газу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вході в ГОУ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виході з ГОУ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8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Ступінь очищення газу, %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0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0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4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об'ємна витрата газопи-</w:t>
            </w:r>
            <w:r>
              <w:rPr>
                <w:sz w:val="22"/>
                <w:szCs w:val="22"/>
              </w:rPr>
              <w:br/>
              <w:t xml:space="preserve">лового потоку, 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  <w:t xml:space="preserve">/с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0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масова концен-</w:t>
            </w:r>
            <w:r>
              <w:rPr>
                <w:sz w:val="22"/>
                <w:szCs w:val="22"/>
              </w:rPr>
              <w:br/>
              <w:t xml:space="preserve">трація, мг/м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масова витрата, г/с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об'ємна витрата газопи-</w:t>
            </w:r>
            <w:r>
              <w:rPr>
                <w:sz w:val="22"/>
                <w:szCs w:val="22"/>
              </w:rPr>
              <w:br/>
              <w:t xml:space="preserve">лового потоку, 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  <w:t xml:space="preserve">/с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9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масова концен-</w:t>
            </w:r>
            <w:r>
              <w:rPr>
                <w:sz w:val="22"/>
                <w:szCs w:val="22"/>
              </w:rPr>
              <w:br/>
              <w:t xml:space="preserve">трація, мг/м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масова витрата, г/с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3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 № / CAS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6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наймену-</w:t>
            </w:r>
            <w:r>
              <w:rPr>
                <w:sz w:val="22"/>
                <w:szCs w:val="22"/>
              </w:rPr>
              <w:br/>
              <w:t xml:space="preserve">вання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4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0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3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6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ГОУ-3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Речовини у вигляді суспендованих твердих частинок недиференційова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них  за складом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Пилоосаджу-вальна камера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0,938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139,08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0,130457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0,923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24,02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0,02217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83,0/80,03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ГОУ-7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Речовини у вигляді суспендованих твердих частинок недиференційова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них  за складом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Фільтр рукавний автоцистерни ТЦ-10А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0,079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9309,17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0,735424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0,077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105,15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0,008097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98,9/98,51</w:t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 w:firstLine="720"/>
        <w:rPr>
          <w:color w:val="2e74b5" w:themeColor="accent1" w:themeShade="BF"/>
          <w:sz w:val="22"/>
          <w:szCs w:val="22"/>
          <w:lang w:eastAsia="ru-RU"/>
        </w:rPr>
      </w:pPr>
      <w:r>
        <w:rPr>
          <w:color w:val="2e74b5" w:themeColor="accent1" w:themeShade="BF"/>
          <w:sz w:val="22"/>
          <w:szCs w:val="22"/>
          <w:lang w:eastAsia="ru-RU"/>
        </w:rPr>
      </w:r>
      <w:r>
        <w:rPr>
          <w:color w:val="2e74b5" w:themeColor="accent1" w:themeShade="BF"/>
          <w:sz w:val="22"/>
          <w:szCs w:val="22"/>
          <w:lang w:eastAsia="ru-RU"/>
        </w:rPr>
      </w:r>
    </w:p>
    <w:p>
      <w:pPr>
        <w:pBdr/>
        <w:spacing/>
        <w:ind/>
        <w:rPr>
          <w:rFonts w:ascii="Arial" w:hAnsi="Arial" w:cs="Arial"/>
          <w:color w:val="2e74b5" w:themeColor="accent1" w:themeShade="BF"/>
          <w:lang w:eastAsia="ru-RU"/>
        </w:rPr>
        <w:sectPr>
          <w:footerReference w:type="default" r:id="rId10"/>
          <w:footnotePr/>
          <w:endnotePr/>
          <w:type w:val="nextPage"/>
          <w:pgSz w:h="11906" w:orient="landscape" w:w="16838"/>
          <w:pgMar w:top="1418" w:right="1134" w:bottom="851" w:left="1134" w:header="709" w:footer="709" w:gutter="0"/>
          <w:cols w:num="1" w:sep="0" w:space="708" w:equalWidth="1"/>
        </w:sectPr>
      </w:pPr>
      <w:r>
        <w:rPr>
          <w:rFonts w:ascii="Arial" w:hAnsi="Arial" w:cs="Arial"/>
          <w:color w:val="2e74b5" w:themeColor="accent1" w:themeShade="BF"/>
          <w:lang w:eastAsia="ru-RU"/>
        </w:rPr>
      </w:r>
      <w:r>
        <w:rPr>
          <w:rFonts w:ascii="Arial" w:hAnsi="Arial" w:cs="Arial"/>
          <w:color w:val="2e74b5" w:themeColor="accent1" w:themeShade="BF"/>
          <w:lang w:eastAsia="ru-RU"/>
        </w:rPr>
      </w:r>
    </w:p>
    <w:p>
      <w:pPr>
        <w:pBdr/>
        <w:spacing w:after="120" w:before="120"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6.7</w:t>
      </w:r>
      <w:r>
        <w:rPr>
          <w:sz w:val="28"/>
          <w:szCs w:val="28"/>
        </w:rPr>
        <w:t xml:space="preserve"> – Дані щодо потенційних обсягів викидів забруднюючих речовин в атмосферне повітря стаціонарними джерелами від об'єкта / промислового майданчика</w:t>
      </w:r>
      <w:r>
        <w:rPr>
          <w:sz w:val="28"/>
          <w:szCs w:val="28"/>
        </w:rPr>
      </w:r>
    </w:p>
    <w:tbl>
      <w:tblPr>
        <w:tblW w:w="5005" w:type="pct"/>
        <w:jc w:val="center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6263"/>
        <w:gridCol w:w="1989"/>
      </w:tblGrid>
      <w:tr>
        <w:trPr>
          <w:jc w:val="center"/>
          <w:trHeight w:val="90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Забруднююча речовина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Потенційний викид забруднюючої речовини, тонн, з трьома десятковими знаками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jc w:val="center"/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найменування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jc w:val="center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Титану діоксид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01003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Залізо та його сполуки (у перерахунку на залізо)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0,033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01007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Ртуть та її сполуки в перерахунку на ртуть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01009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Свинець та його сполуки в перерахунку на свинець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01104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Манган та його сполуки (у перерахунку на діоксид мангану 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0,002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0,216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Оксиди азоту (у перерахунку на діоксид азоту [NO + NО</w:t>
            </w:r>
            <w:r>
              <w:rPr>
                <w:rStyle w:val="835"/>
                <w:b/>
                <w:bCs/>
                <w:sz w:val="22"/>
                <w:szCs w:val="22"/>
                <w:shd w:val="clear" w:color="auto" w:fill="ffffff"/>
                <w:vertAlign w:val="subscript"/>
              </w:rPr>
              <w:t xml:space="preserve">2</w:t>
            </w:r>
            <w:r>
              <w:rPr>
                <w:sz w:val="22"/>
                <w:szCs w:val="22"/>
                <w:shd w:val="clear" w:color="auto" w:fill="ffffff"/>
              </w:rPr>
              <w:t xml:space="preserve">])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3,382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Азоту (1) оксид (N</w:t>
            </w:r>
            <w:r>
              <w:rPr>
                <w:sz w:val="22"/>
                <w:szCs w:val="22"/>
                <w:vertAlign w:val="subscript"/>
              </w:rPr>
              <w:t xml:space="preserve">2</w:t>
            </w:r>
            <w:r>
              <w:rPr>
                <w:sz w:val="22"/>
                <w:szCs w:val="22"/>
              </w:rPr>
              <w:t xml:space="preserve">O)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0,004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Сірки діоксид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0,067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Сірководень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Сульфатна кислота (H</w:t>
            </w:r>
            <w:r>
              <w:rPr>
                <w:sz w:val="22"/>
                <w:szCs w:val="22"/>
                <w:vertAlign w:val="subscript"/>
              </w:rPr>
              <w:t xml:space="preserve">2</w:t>
            </w:r>
            <w:r>
              <w:rPr>
                <w:sz w:val="22"/>
                <w:szCs w:val="22"/>
              </w:rPr>
              <w:t xml:space="preserve">SO</w:t>
            </w:r>
            <w:r>
              <w:rPr>
                <w:sz w:val="22"/>
                <w:szCs w:val="22"/>
                <w:vertAlign w:val="subscript"/>
              </w:rPr>
              <w:t xml:space="preserve">4</w:t>
            </w:r>
            <w:r>
              <w:rPr>
                <w:sz w:val="22"/>
                <w:szCs w:val="22"/>
              </w:rPr>
              <w:t xml:space="preserve">) (сірчана кислота)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Оксид вуглецю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0,647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Вуглецю діоксид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2115,749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Неметанові леткі органічні сполуки,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</w:t>
            </w:r>
            <w:r>
              <w:rPr>
                <w:sz w:val="22"/>
                <w:szCs w:val="22"/>
              </w:rPr>
              <w:t xml:space="preserve">86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Бензин (нафтовий, малосірчистий, у перерахунку на вуглець)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</w:t>
            </w:r>
            <w:r>
              <w:rPr>
                <w:sz w:val="22"/>
                <w:szCs w:val="22"/>
              </w:rPr>
              <w:t xml:space="preserve">692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 мінеральне нафтове (веретенне, машинне, циліндрове і ін.)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Вуглеводні насичені C</w:t>
            </w:r>
            <w:r>
              <w:rPr>
                <w:sz w:val="22"/>
                <w:szCs w:val="22"/>
                <w:vertAlign w:val="subscript"/>
              </w:rPr>
              <w:t xml:space="preserve">12</w:t>
            </w:r>
            <w:r>
              <w:rPr>
                <w:sz w:val="22"/>
                <w:szCs w:val="22"/>
              </w:rPr>
              <w:t xml:space="preserve"> - C</w:t>
            </w:r>
            <w:r>
              <w:rPr>
                <w:sz w:val="22"/>
                <w:szCs w:val="22"/>
                <w:vertAlign w:val="subscript"/>
              </w:rPr>
              <w:t xml:space="preserve">19</w:t>
            </w:r>
            <w:r>
              <w:rPr>
                <w:sz w:val="22"/>
                <w:szCs w:val="22"/>
              </w:rPr>
              <w:t xml:space="preserve"> (розчинник РПК-26511 та ін.) у перерахунку на сумарний органічний вуглець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Інгібітор корозії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Нефтехим-1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(талове масло-32%, гас-20%, поліетиленполіаміди-8%, стабільний каталізатор - 10%)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0,115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Бензол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11036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Спирт метиловий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0,006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Хлор та сполуки хлору (у перерахунку на хлор),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Водню хлорид (соляна кислота за молекулою HCL)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 та його сполуки (у перерахунку на фтор),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Фториди, що легко розчиняються (наприклад, NaF) та їх сполуки в перерахунку на фтор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Фтористі сполуки погано розчинні неорганічні (фторид алюмінію, гексафторалюмінат натрію) у перерахунку на фтор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Фтористий водень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Усього для об’єкта/промислового майданчика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212</w:t>
            </w:r>
            <w:r>
              <w:rPr>
                <w:b/>
                <w:sz w:val="22"/>
                <w:szCs w:val="22"/>
              </w:rPr>
              <w:t xml:space="preserve">2,018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</w:p>
    <w:p>
      <w:pPr>
        <w:pBdr/>
        <w:spacing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Інформація про потенційні обсяги викидів забруднюючих речовин від виробничих та технологічних процесів, технологічного устаткування (установок) наведена в таблицях 6.8 згідно з додатком 6 до Інструкції  [12]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6.8.1</w:t>
      </w:r>
      <w:r>
        <w:rPr>
          <w:sz w:val="28"/>
          <w:szCs w:val="28"/>
        </w:rPr>
        <w:t xml:space="preserve"> –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Найменування виробничого та технологічного процесу, технологічного устаткування (установки):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bCs/>
          <w:u w:val="single"/>
          <w:lang w:eastAsia="uk-UA"/>
        </w:rPr>
        <w:t xml:space="preserve">Стаціонарне спалювання в промисловості та будівництві: Нерудні корисні копалини</w:t>
      </w:r>
      <w:r>
        <w:rPr>
          <w:bCs/>
          <w:lang w:eastAsia="uk-UA"/>
        </w:rPr>
        <w:t xml:space="preserve"> код </w:t>
      </w:r>
      <w:r>
        <w:rPr>
          <w:bCs/>
          <w:u w:val="single"/>
          <w:lang w:eastAsia="uk-UA"/>
        </w:rPr>
        <w:t xml:space="preserve">1.</w:t>
      </w:r>
      <w:r>
        <w:rPr>
          <w:bCs/>
          <w:u w:val="single"/>
          <w:lang w:val="en-US" w:eastAsia="uk-UA"/>
        </w:rPr>
        <w:t xml:space="preserve">A</w:t>
      </w:r>
      <w:r>
        <w:rPr>
          <w:bCs/>
          <w:u w:val="single"/>
          <w:lang w:eastAsia="uk-UA"/>
        </w:rPr>
        <w:t xml:space="preserve">.2.</w:t>
      </w:r>
      <w:r>
        <w:rPr>
          <w:bCs/>
          <w:u w:val="single"/>
          <w:lang w:val="en-US" w:eastAsia="uk-UA"/>
        </w:rPr>
        <w:t xml:space="preserve">f</w:t>
      </w:r>
      <w:r>
        <w:rPr>
          <w:bCs/>
          <w:lang w:eastAsia="uk-UA"/>
        </w:rPr>
        <w:t xml:space="preserve"> / </w:t>
      </w:r>
      <w:r>
        <w:rPr>
          <w:sz w:val="22"/>
          <w:szCs w:val="22"/>
          <w:u w:val="single"/>
        </w:rPr>
        <w:t xml:space="preserve">Спалювання у промисловості: процеси спалювання в котлоагрегатах, газових турбінах і стаціонарних двигунах: Установки для спалювання &lt; 50МВт </w:t>
      </w:r>
      <w:r>
        <w:rPr>
          <w:sz w:val="22"/>
          <w:szCs w:val="22"/>
        </w:rPr>
        <w:t xml:space="preserve">код </w:t>
      </w:r>
      <w:r>
        <w:rPr>
          <w:sz w:val="22"/>
          <w:szCs w:val="22"/>
          <w:u w:val="single"/>
        </w:rPr>
        <w:t xml:space="preserve">030103</w:t>
      </w:r>
      <w:r>
        <w:rPr>
          <w:sz w:val="22"/>
          <w:szCs w:val="22"/>
        </w:rPr>
      </w:r>
    </w:p>
    <w:tbl>
      <w:tblPr>
        <w:tblW w:w="5015" w:type="pct"/>
        <w:tblInd w:w="-5" w:type="dxa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5953"/>
        <w:gridCol w:w="2428"/>
      </w:tblGrid>
      <w:tr>
        <w:trPr>
          <w:trHeight w:val="458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4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Забруднююча речовина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Потенційний викид забруднюючої речовини, тонн, з трьома десятковими знаками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4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найменування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01007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Ртуть та її сполуки в перерахунку на ртуть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0,112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Оксиди азоту (у перерахунку на діоксид азоту [NO + NО</w:t>
            </w:r>
            <w:r>
              <w:rPr>
                <w:rStyle w:val="835"/>
                <w:b/>
                <w:bCs/>
                <w:sz w:val="22"/>
                <w:szCs w:val="22"/>
                <w:shd w:val="clear" w:color="auto" w:fill="ffffff"/>
                <w:vertAlign w:val="subscript"/>
              </w:rPr>
              <w:t xml:space="preserve">2</w:t>
            </w:r>
            <w:r>
              <w:rPr>
                <w:sz w:val="22"/>
                <w:szCs w:val="22"/>
                <w:shd w:val="clear" w:color="auto" w:fill="ffffff"/>
              </w:rPr>
              <w:t xml:space="preserve">])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3,379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Азоту(1) оксид (N</w:t>
            </w:r>
            <w:r>
              <w:rPr>
                <w:sz w:val="22"/>
                <w:szCs w:val="22"/>
                <w:vertAlign w:val="subscript"/>
              </w:rPr>
              <w:t xml:space="preserve">2</w:t>
            </w:r>
            <w:r>
              <w:rPr>
                <w:sz w:val="22"/>
                <w:szCs w:val="22"/>
              </w:rPr>
              <w:t xml:space="preserve">O)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Сірки діоксид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Оксид вуглецю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0,642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Вуглецю діоксид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2115,749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2119,990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6.8.</w:t>
      </w:r>
      <w:r>
        <w:rPr>
          <w:b/>
          <w:sz w:val="28"/>
          <w:szCs w:val="28"/>
        </w:rPr>
        <w:t xml:space="preserve">2</w:t>
      </w:r>
      <w:r>
        <w:rPr>
          <w:sz w:val="28"/>
          <w:szCs w:val="28"/>
        </w:rPr>
        <w:t xml:space="preserve"> –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72"/>
        <w:pBdr/>
        <w:spacing/>
        <w:ind/>
        <w:rPr>
          <w:bCs/>
          <w:sz w:val="22"/>
          <w:szCs w:val="22"/>
          <w:lang w:eastAsia="uk-UA"/>
        </w:rPr>
      </w:pPr>
      <w:r>
        <w:rPr>
          <w:sz w:val="22"/>
          <w:szCs w:val="22"/>
          <w:lang w:val="uk-UA"/>
        </w:rPr>
        <w:t xml:space="preserve">Найменування виробничого та технологічного процесу, технологічного устаткування (установки): </w:t>
      </w:r>
      <w:r>
        <w:rPr>
          <w:bCs/>
          <w:sz w:val="22"/>
          <w:szCs w:val="22"/>
          <w:u w:val="single"/>
          <w:lang w:eastAsia="uk-UA"/>
        </w:rPr>
        <w:t xml:space="preserve">Неконтрольовані викиди нафти: переробка/зберігання</w:t>
      </w:r>
      <w:r>
        <w:rPr>
          <w:bCs/>
          <w:sz w:val="22"/>
          <w:szCs w:val="22"/>
          <w:lang w:eastAsia="uk-UA"/>
        </w:rPr>
        <w:t xml:space="preserve"> </w:t>
      </w:r>
      <w:r>
        <w:rPr>
          <w:bCs/>
          <w:sz w:val="22"/>
          <w:szCs w:val="22"/>
          <w:lang w:val="uk-UA" w:eastAsia="uk-UA"/>
        </w:rPr>
        <w:t xml:space="preserve">код </w:t>
      </w:r>
      <w:r>
        <w:rPr>
          <w:bCs/>
          <w:sz w:val="22"/>
          <w:szCs w:val="22"/>
          <w:u w:val="single"/>
          <w:lang w:eastAsia="uk-UA"/>
        </w:rPr>
        <w:t xml:space="preserve">1.</w:t>
      </w:r>
      <w:r>
        <w:rPr>
          <w:bCs/>
          <w:sz w:val="22"/>
          <w:szCs w:val="22"/>
          <w:u w:val="single"/>
          <w:lang w:val="en-US" w:eastAsia="uk-UA"/>
        </w:rPr>
        <w:t xml:space="preserve">B</w:t>
      </w:r>
      <w:r>
        <w:rPr>
          <w:bCs/>
          <w:sz w:val="22"/>
          <w:szCs w:val="22"/>
          <w:u w:val="single"/>
          <w:lang w:eastAsia="uk-UA"/>
        </w:rPr>
        <w:t xml:space="preserve">.2.</w:t>
      </w:r>
      <w:r>
        <w:rPr>
          <w:bCs/>
          <w:sz w:val="22"/>
          <w:szCs w:val="22"/>
          <w:u w:val="single"/>
          <w:lang w:val="en-US" w:eastAsia="uk-UA"/>
        </w:rPr>
        <w:t xml:space="preserve">a</w:t>
      </w:r>
      <w:r>
        <w:rPr>
          <w:bCs/>
          <w:sz w:val="22"/>
          <w:szCs w:val="22"/>
          <w:u w:val="single"/>
          <w:lang w:eastAsia="uk-UA"/>
        </w:rPr>
        <w:t xml:space="preserve">.</w:t>
      </w:r>
      <w:r>
        <w:rPr>
          <w:bCs/>
          <w:sz w:val="22"/>
          <w:szCs w:val="22"/>
          <w:u w:val="single"/>
          <w:lang w:val="en-US" w:eastAsia="uk-UA"/>
        </w:rPr>
        <w:t xml:space="preserve">i</w:t>
      </w:r>
      <w:r>
        <w:rPr>
          <w:bCs/>
          <w:sz w:val="22"/>
          <w:szCs w:val="22"/>
          <w:lang w:eastAsia="uk-UA"/>
        </w:rPr>
        <w:t xml:space="preserve"> / </w:t>
      </w:r>
      <w:r>
        <w:rPr>
          <w:bCs/>
          <w:sz w:val="22"/>
          <w:szCs w:val="22"/>
          <w:lang w:eastAsia="uk-UA"/>
        </w:rPr>
      </w:r>
    </w:p>
    <w:p>
      <w:pPr>
        <w:pStyle w:val="772"/>
        <w:pBdr/>
        <w:spacing/>
        <w:ind/>
        <w:rPr>
          <w:bCs/>
          <w:sz w:val="22"/>
          <w:szCs w:val="22"/>
          <w:u w:val="single"/>
          <w:lang w:val="uk-UA" w:eastAsia="uk-UA"/>
        </w:rPr>
      </w:pPr>
      <w:r>
        <w:rPr>
          <w:bCs/>
          <w:sz w:val="22"/>
          <w:szCs w:val="22"/>
          <w:u w:val="single"/>
          <w:lang w:val="uk-UA" w:eastAsia="uk-UA"/>
        </w:rPr>
        <w:t xml:space="preserve">Процеси в нафтовій промисловості. Інше</w:t>
      </w:r>
      <w:r>
        <w:rPr>
          <w:bCs/>
          <w:sz w:val="22"/>
          <w:szCs w:val="22"/>
          <w:lang w:val="uk-UA" w:eastAsia="uk-UA"/>
        </w:rPr>
        <w:t xml:space="preserve"> код </w:t>
      </w:r>
      <w:r>
        <w:rPr>
          <w:bCs/>
          <w:sz w:val="22"/>
          <w:szCs w:val="22"/>
          <w:u w:val="single"/>
          <w:lang w:val="uk-UA" w:eastAsia="uk-UA"/>
        </w:rPr>
        <w:t xml:space="preserve">040105</w:t>
      </w:r>
      <w:r>
        <w:rPr>
          <w:bCs/>
          <w:sz w:val="22"/>
          <w:szCs w:val="22"/>
          <w:u w:val="single"/>
          <w:lang w:val="uk-UA" w:eastAsia="uk-UA"/>
        </w:rPr>
      </w:r>
    </w:p>
    <w:tbl>
      <w:tblPr>
        <w:tblW w:w="5005" w:type="pct"/>
        <w:tblInd w:w="-5" w:type="dxa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6238"/>
        <w:gridCol w:w="2124"/>
      </w:tblGrid>
      <w:tr>
        <w:trPr>
          <w:trHeight w:val="578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Забруднююча речовина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Потенційний викид забруднюючої речовини, тонн, з трьома десятковими знаками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найменування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01009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Свинець та його сполуки в перерахунку на свинець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Сірководень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Сульфатна кислота (H</w:t>
            </w:r>
            <w:r>
              <w:rPr>
                <w:sz w:val="22"/>
                <w:szCs w:val="22"/>
                <w:vertAlign w:val="subscript"/>
              </w:rPr>
              <w:t xml:space="preserve">2</w:t>
            </w:r>
            <w:r>
              <w:rPr>
                <w:sz w:val="22"/>
                <w:szCs w:val="22"/>
              </w:rPr>
              <w:t xml:space="preserve">SO</w:t>
            </w:r>
            <w:r>
              <w:rPr>
                <w:sz w:val="22"/>
                <w:szCs w:val="22"/>
                <w:vertAlign w:val="subscript"/>
              </w:rPr>
              <w:t xml:space="preserve">4</w:t>
            </w:r>
            <w:r>
              <w:rPr>
                <w:sz w:val="22"/>
                <w:szCs w:val="22"/>
              </w:rPr>
              <w:t xml:space="preserve">) (сірчана кислота)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Неметанові леткі органічні сполуки,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Кінець таблиці 6.8.2</w:t>
      </w:r>
      <w:r>
        <w:rPr>
          <w:sz w:val="28"/>
          <w:szCs w:val="28"/>
        </w:rPr>
      </w:r>
    </w:p>
    <w:tbl>
      <w:tblPr>
        <w:tblW w:w="5015" w:type="pct"/>
        <w:tblInd w:w="-5" w:type="dxa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5953"/>
        <w:gridCol w:w="284"/>
        <w:gridCol w:w="2125"/>
        <w:gridCol w:w="19"/>
      </w:tblGrid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Бензин (нафтовий, малосірчистий, у перерахунку на вуглець)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1,183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 мінеральне нафтове (веретенне, машинне, циліндрове і ін.)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Вуглеводні насичені C</w:t>
            </w:r>
            <w:r>
              <w:rPr>
                <w:sz w:val="22"/>
                <w:szCs w:val="22"/>
                <w:vertAlign w:val="subscript"/>
              </w:rPr>
              <w:t xml:space="preserve">12</w:t>
            </w:r>
            <w:r>
              <w:rPr>
                <w:sz w:val="22"/>
                <w:szCs w:val="22"/>
              </w:rPr>
              <w:t xml:space="preserve"> - C</w:t>
            </w:r>
            <w:r>
              <w:rPr>
                <w:sz w:val="22"/>
                <w:szCs w:val="22"/>
                <w:vertAlign w:val="subscript"/>
              </w:rPr>
              <w:t xml:space="preserve">19</w:t>
            </w:r>
            <w:r>
              <w:rPr>
                <w:sz w:val="22"/>
                <w:szCs w:val="22"/>
              </w:rPr>
              <w:t xml:space="preserve"> (розчинник РПК-26511 та ін.) у перерахунку на сумарний органічний вуглець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Інгібітор корозії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Нефтехим-1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(талове масло-32%, гас-20%, поліетиленполіаміди-8%, стабільний каталізатор - 10%)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0,115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11008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Бензол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11036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Спирт метиловий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0,006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0,013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Хлор та сполуки хлору (у перерахунку на хлор),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15003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Водню хлорид (соляна кислота за молекулою HCL)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1,386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6.8.</w:t>
      </w:r>
      <w:r>
        <w:rPr>
          <w:b/>
          <w:sz w:val="28"/>
          <w:szCs w:val="28"/>
        </w:rPr>
        <w:t xml:space="preserve">3</w:t>
      </w:r>
      <w:r>
        <w:rPr>
          <w:sz w:val="28"/>
          <w:szCs w:val="28"/>
        </w:rPr>
        <w:t xml:space="preserve"> –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8"/>
          <w:szCs w:val="28"/>
        </w:rPr>
      </w:r>
    </w:p>
    <w:p>
      <w:pPr>
        <w:pStyle w:val="772"/>
        <w:pBdr/>
        <w:spacing/>
        <w: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Найменування виробничого та технологічного процесу, технологічного устаткування (установки): </w:t>
      </w:r>
      <w:r>
        <w:rPr>
          <w:sz w:val="24"/>
          <w:szCs w:val="24"/>
          <w:u w:val="single"/>
          <w:lang w:val="uk-UA"/>
        </w:rPr>
        <w:t xml:space="preserve">Розподіл нафтопродуктів</w:t>
      </w:r>
      <w:r>
        <w:rPr>
          <w:sz w:val="24"/>
          <w:szCs w:val="24"/>
          <w:lang w:val="uk-UA"/>
        </w:rPr>
        <w:t xml:space="preserve"> код </w:t>
      </w:r>
      <w:r>
        <w:rPr>
          <w:sz w:val="24"/>
          <w:szCs w:val="24"/>
          <w:u w:val="single"/>
          <w:lang w:val="uk-UA"/>
        </w:rPr>
        <w:t xml:space="preserve">1.B.2.a.v</w:t>
      </w:r>
      <w:r>
        <w:rPr>
          <w:sz w:val="24"/>
          <w:szCs w:val="24"/>
          <w:lang w:val="uk-UA"/>
        </w:rPr>
        <w:t xml:space="preserve">  /  </w:t>
      </w:r>
      <w:r>
        <w:rPr>
          <w:sz w:val="24"/>
          <w:szCs w:val="24"/>
          <w:u w:val="single"/>
          <w:lang w:val="uk-UA"/>
        </w:rPr>
        <w:t xml:space="preserve">Автозаправні станції (включаючи заправку машин паливом)</w:t>
      </w:r>
      <w:r>
        <w:rPr>
          <w:sz w:val="24"/>
          <w:szCs w:val="24"/>
          <w:lang w:val="uk-UA"/>
        </w:rPr>
        <w:t xml:space="preserve"> код </w:t>
      </w:r>
      <w:r>
        <w:rPr>
          <w:sz w:val="24"/>
          <w:szCs w:val="24"/>
          <w:u w:val="single"/>
          <w:lang w:val="uk-UA"/>
        </w:rPr>
        <w:t xml:space="preserve">050503</w:t>
      </w:r>
      <w:r>
        <w:rPr>
          <w:sz w:val="24"/>
          <w:szCs w:val="24"/>
          <w:lang w:val="uk-UA"/>
        </w:rPr>
      </w:r>
    </w:p>
    <w:p>
      <w:pPr>
        <w:pBdr/>
        <w:spacing/>
        <w:ind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>
        <w:rPr>
          <w:sz w:val="22"/>
          <w:szCs w:val="22"/>
          <w:lang w:eastAsia="ru-RU"/>
        </w:rPr>
      </w:r>
    </w:p>
    <w:tbl>
      <w:tblPr>
        <w:tblW w:w="5005" w:type="pct"/>
        <w:tblInd w:w="-5" w:type="dxa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6238"/>
        <w:gridCol w:w="2124"/>
      </w:tblGrid>
      <w:tr>
        <w:trPr>
          <w:trHeight w:val="578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eastAsia="ru-RU"/>
              </w:rPr>
              <w:t xml:space="preserve">Забруднююча речовина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Потенційний викид забруднюючої речовини, тонн, з трьома десятковими знаками</w:t>
            </w:r>
            <w:r/>
          </w:p>
        </w:tc>
      </w:tr>
      <w:tr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код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найменування</w:t>
            </w:r>
            <w:r>
              <w:rPr>
                <w:lang w:eastAsia="ru-RU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05002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Сірководень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11000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Неметанові леткі органічні сполуки, в т.ч.: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0,553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11000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Бензин (нафтовий, малосірчистий, у перерахунку на вуглець)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0,509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11000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Вуглеводні насичені C</w:t>
            </w:r>
            <w:r>
              <w:rPr>
                <w:vertAlign w:val="subscript"/>
              </w:rPr>
              <w:t xml:space="preserve">12</w:t>
            </w:r>
            <w:r>
              <w:t xml:space="preserve"> - C</w:t>
            </w:r>
            <w:r>
              <w:rPr>
                <w:vertAlign w:val="subscript"/>
              </w:rPr>
              <w:t xml:space="preserve">19</w:t>
            </w:r>
            <w:r>
              <w:t xml:space="preserve"> (розчинник РПК-26511 та ін.) у перерахунку на сумарний органічний вуглець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0,044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11008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Бензол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0,000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–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0,553</w:t>
            </w:r>
            <w:r>
              <w:rPr>
                <w:b/>
              </w:rPr>
            </w:r>
          </w:p>
        </w:tc>
      </w:tr>
    </w:tbl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6.8.</w:t>
      </w:r>
      <w:r>
        <w:rPr>
          <w:b/>
          <w:sz w:val="28"/>
          <w:szCs w:val="28"/>
        </w:rPr>
        <w:t xml:space="preserve">4</w:t>
      </w:r>
      <w:r>
        <w:rPr>
          <w:sz w:val="28"/>
          <w:szCs w:val="28"/>
        </w:rPr>
        <w:t xml:space="preserve"> –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72"/>
        <w:pBdr/>
        <w:spacing/>
        <w:ind/>
        <w:rPr>
          <w:bCs/>
          <w:sz w:val="22"/>
          <w:szCs w:val="22"/>
          <w:lang w:val="uk-UA" w:eastAsia="uk-UA"/>
        </w:rPr>
      </w:pPr>
      <w:r>
        <w:rPr>
          <w:sz w:val="22"/>
          <w:szCs w:val="22"/>
          <w:lang w:val="uk-UA"/>
        </w:rPr>
        <w:t xml:space="preserve">Найменування виробничого та технологічного процесу, технологічного устаткування (установки): </w:t>
      </w:r>
      <w:r>
        <w:rPr>
          <w:bCs/>
          <w:sz w:val="22"/>
          <w:szCs w:val="22"/>
          <w:u w:val="single"/>
          <w:lang w:val="uk-UA" w:eastAsia="uk-UA"/>
        </w:rPr>
        <w:t xml:space="preserve">Зберігання , обробка і транспортування металопродукції</w:t>
      </w:r>
      <w:r>
        <w:rPr>
          <w:bCs/>
          <w:sz w:val="22"/>
          <w:szCs w:val="22"/>
          <w:lang w:val="uk-UA" w:eastAsia="uk-UA"/>
        </w:rPr>
        <w:t xml:space="preserve"> код </w:t>
      </w:r>
      <w:r>
        <w:rPr>
          <w:bCs/>
          <w:sz w:val="22"/>
          <w:szCs w:val="22"/>
          <w:u w:val="single"/>
          <w:lang w:val="uk-UA" w:eastAsia="uk-UA"/>
        </w:rPr>
        <w:t xml:space="preserve">2.</w:t>
      </w:r>
      <w:r>
        <w:rPr>
          <w:bCs/>
          <w:sz w:val="22"/>
          <w:szCs w:val="22"/>
          <w:u w:val="single"/>
          <w:lang w:val="en-US" w:eastAsia="uk-UA"/>
        </w:rPr>
        <w:t xml:space="preserve">C</w:t>
      </w:r>
      <w:r>
        <w:rPr>
          <w:bCs/>
          <w:sz w:val="22"/>
          <w:szCs w:val="22"/>
          <w:u w:val="single"/>
          <w:lang w:val="uk-UA" w:eastAsia="uk-UA"/>
        </w:rPr>
        <w:t xml:space="preserve">.7.</w:t>
      </w:r>
      <w:r>
        <w:rPr>
          <w:bCs/>
          <w:sz w:val="22"/>
          <w:szCs w:val="22"/>
          <w:u w:val="single"/>
          <w:lang w:val="en-US" w:eastAsia="uk-UA"/>
        </w:rPr>
        <w:t xml:space="preserve">d</w:t>
      </w:r>
      <w:r>
        <w:rPr>
          <w:bCs/>
          <w:sz w:val="22"/>
          <w:szCs w:val="22"/>
          <w:lang w:val="uk-UA" w:eastAsia="uk-UA"/>
        </w:rPr>
        <w:t xml:space="preserve"> / </w:t>
      </w:r>
      <w:r>
        <w:rPr>
          <w:bCs/>
          <w:sz w:val="22"/>
          <w:szCs w:val="22"/>
          <w:lang w:val="uk-UA" w:eastAsia="uk-UA"/>
        </w:rPr>
      </w:r>
    </w:p>
    <w:p>
      <w:pPr>
        <w:pStyle w:val="772"/>
        <w:pBdr/>
        <w:spacing/>
        <w:ind/>
        <w:rPr>
          <w:bCs/>
          <w:sz w:val="22"/>
          <w:szCs w:val="22"/>
          <w:u w:val="single"/>
          <w:lang w:val="uk-UA" w:eastAsia="uk-UA"/>
        </w:rPr>
      </w:pPr>
      <w:r>
        <w:rPr>
          <w:bCs/>
          <w:sz w:val="22"/>
          <w:szCs w:val="22"/>
          <w:u w:val="single"/>
          <w:lang w:val="uk-UA" w:eastAsia="uk-UA"/>
        </w:rPr>
        <w:t xml:space="preserve">Зберігання, обробка і транспортування металопродукції </w:t>
      </w:r>
      <w:r>
        <w:rPr>
          <w:bCs/>
          <w:sz w:val="22"/>
          <w:szCs w:val="22"/>
          <w:lang w:val="uk-UA" w:eastAsia="uk-UA"/>
        </w:rPr>
        <w:t xml:space="preserve">код </w:t>
      </w:r>
      <w:r>
        <w:rPr>
          <w:bCs/>
          <w:sz w:val="22"/>
          <w:szCs w:val="22"/>
          <w:u w:val="single"/>
          <w:lang w:val="uk-UA" w:eastAsia="uk-UA"/>
        </w:rPr>
        <w:t xml:space="preserve">041000</w:t>
      </w:r>
      <w:r>
        <w:rPr>
          <w:bCs/>
          <w:sz w:val="22"/>
          <w:szCs w:val="22"/>
          <w:u w:val="single"/>
          <w:lang w:val="uk-UA" w:eastAsia="uk-UA"/>
        </w:rPr>
      </w:r>
    </w:p>
    <w:tbl>
      <w:tblPr>
        <w:tblW w:w="5015" w:type="pct"/>
        <w:tblInd w:w="-5" w:type="dxa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5953"/>
        <w:gridCol w:w="2428"/>
      </w:tblGrid>
      <w:tr>
        <w:trPr>
          <w:trHeight w:val="458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4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Забруднююча речовина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Потенційний викид забруднюючої речовини, тонн, з трьома десятковими знаками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4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найменування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Титану діоксид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01003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Залізо та його сполуки (у перерахунку на залізо)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01104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Манган та його сполуки (у перерахунку на діоксид мангану 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0,035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Оксиди азоту (у перерахунку на діоксид азоту [NO + NО</w:t>
            </w:r>
            <w:r>
              <w:rPr>
                <w:rStyle w:val="835"/>
                <w:b/>
                <w:bCs/>
                <w:sz w:val="22"/>
                <w:szCs w:val="22"/>
                <w:shd w:val="clear" w:color="auto" w:fill="ffffff"/>
                <w:vertAlign w:val="subscript"/>
              </w:rPr>
              <w:t xml:space="preserve">2</w:t>
            </w:r>
            <w:r>
              <w:rPr>
                <w:sz w:val="22"/>
                <w:szCs w:val="22"/>
                <w:shd w:val="clear" w:color="auto" w:fill="ffffff"/>
              </w:rPr>
              <w:t xml:space="preserve">])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Оксид вуглецю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 та його сполуки (у перерахунку на фтор), в т.ч.: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Фториди, що легко розчиняються (наприклад, NaF) та їх сполуки в перерахунку на фтор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Фтористі сполуки погано розчинні неорганічні (фторид алюмінію, гексафторалюмінат натрію) у перерахунку на фтор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Фтористий водень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0,079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6.8.</w:t>
      </w:r>
      <w:r>
        <w:rPr>
          <w:b/>
          <w:sz w:val="28"/>
          <w:szCs w:val="28"/>
        </w:rPr>
        <w:t xml:space="preserve">5</w:t>
      </w:r>
      <w:r>
        <w:rPr>
          <w:sz w:val="28"/>
          <w:szCs w:val="28"/>
        </w:rPr>
        <w:t xml:space="preserve"> –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72"/>
        <w:pBdr/>
        <w:spacing/>
        <w:ind/>
        <w:rPr>
          <w:bCs/>
          <w:sz w:val="22"/>
          <w:szCs w:val="22"/>
          <w:u w:val="single"/>
          <w:lang w:val="uk-UA" w:eastAsia="uk-UA"/>
        </w:rPr>
      </w:pPr>
      <w:r>
        <w:rPr>
          <w:sz w:val="24"/>
          <w:szCs w:val="24"/>
          <w:lang w:val="uk-UA"/>
        </w:rPr>
        <w:t xml:space="preserve">Найменування виробничого та технологічного процесу, технологічного устаткування (установки): </w:t>
      </w:r>
      <w:r>
        <w:rPr>
          <w:bCs/>
          <w:sz w:val="22"/>
          <w:szCs w:val="22"/>
          <w:u w:val="single"/>
          <w:lang w:eastAsia="uk-UA"/>
        </w:rPr>
        <w:t xml:space="preserve">Деревообробка</w:t>
      </w:r>
      <w:r>
        <w:rPr>
          <w:bCs/>
          <w:sz w:val="22"/>
          <w:szCs w:val="22"/>
          <w:lang w:eastAsia="uk-UA"/>
        </w:rPr>
        <w:t xml:space="preserve"> </w:t>
      </w:r>
      <w:r>
        <w:rPr>
          <w:bCs/>
          <w:sz w:val="22"/>
          <w:szCs w:val="22"/>
          <w:lang w:val="uk-UA" w:eastAsia="uk-UA"/>
        </w:rPr>
        <w:t xml:space="preserve">код</w:t>
      </w:r>
      <w:r>
        <w:rPr>
          <w:bCs/>
          <w:sz w:val="22"/>
          <w:szCs w:val="22"/>
          <w:lang w:eastAsia="uk-UA"/>
        </w:rPr>
        <w:t xml:space="preserve"> </w:t>
      </w:r>
      <w:r>
        <w:rPr>
          <w:bCs/>
          <w:sz w:val="22"/>
          <w:szCs w:val="22"/>
          <w:u w:val="single"/>
          <w:lang w:eastAsia="uk-UA"/>
        </w:rPr>
        <w:t xml:space="preserve">2.</w:t>
      </w:r>
      <w:r>
        <w:rPr>
          <w:bCs/>
          <w:sz w:val="22"/>
          <w:szCs w:val="22"/>
          <w:u w:val="single"/>
          <w:lang w:val="en-US" w:eastAsia="uk-UA"/>
        </w:rPr>
        <w:t xml:space="preserve">I</w:t>
      </w:r>
      <w:r>
        <w:rPr>
          <w:bCs/>
          <w:sz w:val="22"/>
          <w:szCs w:val="22"/>
          <w:lang w:eastAsia="uk-UA"/>
        </w:rPr>
        <w:t xml:space="preserve"> /  </w:t>
      </w:r>
      <w:r>
        <w:rPr>
          <w:bCs/>
          <w:sz w:val="22"/>
          <w:szCs w:val="22"/>
          <w:u w:val="single"/>
          <w:lang w:eastAsia="uk-UA"/>
        </w:rPr>
        <w:t xml:space="preserve">Деревообробна промисловість</w:t>
      </w:r>
      <w:r>
        <w:rPr>
          <w:bCs/>
          <w:sz w:val="22"/>
          <w:szCs w:val="22"/>
          <w:lang w:val="uk-UA" w:eastAsia="uk-UA"/>
        </w:rPr>
        <w:t xml:space="preserve"> код </w:t>
      </w:r>
      <w:r>
        <w:rPr>
          <w:bCs/>
          <w:sz w:val="22"/>
          <w:szCs w:val="22"/>
          <w:u w:val="single"/>
          <w:lang w:eastAsia="uk-UA"/>
        </w:rPr>
        <w:t xml:space="preserve">040620</w:t>
      </w:r>
      <w:r>
        <w:rPr>
          <w:bCs/>
          <w:sz w:val="22"/>
          <w:szCs w:val="22"/>
          <w:u w:val="single"/>
          <w:lang w:val="uk-UA" w:eastAsia="uk-UA"/>
        </w:rPr>
      </w:r>
    </w:p>
    <w:p>
      <w:pPr>
        <w:pStyle w:val="772"/>
        <w:pBdr/>
        <w:spacing/>
        <w:ind/>
        <w:rPr>
          <w:bCs/>
          <w:sz w:val="24"/>
          <w:szCs w:val="24"/>
          <w:u w:val="single"/>
          <w:lang w:val="uk-UA" w:eastAsia="uk-UA"/>
        </w:rPr>
      </w:pPr>
      <w:r>
        <w:rPr>
          <w:bCs/>
          <w:sz w:val="24"/>
          <w:szCs w:val="24"/>
          <w:u w:val="single"/>
          <w:lang w:val="uk-UA" w:eastAsia="uk-UA"/>
        </w:rPr>
      </w:r>
      <w:r>
        <w:rPr>
          <w:bCs/>
          <w:sz w:val="24"/>
          <w:szCs w:val="24"/>
          <w:u w:val="single"/>
          <w:lang w:val="uk-UA" w:eastAsia="uk-UA"/>
        </w:rPr>
      </w:r>
    </w:p>
    <w:tbl>
      <w:tblPr>
        <w:tblW w:w="5005" w:type="pct"/>
        <w:tblInd w:w="-5" w:type="dxa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6238"/>
        <w:gridCol w:w="2124"/>
      </w:tblGrid>
      <w:tr>
        <w:trPr>
          <w:trHeight w:val="578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Забруднююча речовина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Потенційний викид забруднюючої речовини, тонн, з трьома десятковими знаками</w:t>
            </w:r>
            <w:r>
              <w:rPr>
                <w:lang w:eastAsia="ru-RU"/>
              </w:rPr>
            </w:r>
          </w:p>
        </w:tc>
      </w:tr>
      <w:tr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код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найменування</w:t>
            </w:r>
            <w:r>
              <w:rPr>
                <w:lang w:eastAsia="ru-RU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</w:t>
            </w:r>
            <w:r>
              <w:rPr>
                <w:lang w:eastAsia="ru-RU"/>
              </w:rPr>
            </w:r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03000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hd w:val="clear" w:color="auto" w:fill="ffffff"/>
              </w:rPr>
              <w:t xml:space="preserve">Речовини у вигляді суспендованих твердих частинок (мікрочастинки та волокна)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0,010</w:t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0,010</w:t>
            </w:r>
            <w:r>
              <w:rPr>
                <w:b/>
              </w:rPr>
            </w:r>
          </w:p>
        </w:tc>
      </w:tr>
    </w:tbl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0"/>
        <w:keepNext w:val="false"/>
        <w:pBdr/>
        <w:spacing/>
        <w:ind/>
        <w:rPr>
          <w:rFonts w:ascii="Arial" w:hAnsi="Arial" w:cs="Arial"/>
          <w:color w:val="2e74b5" w:themeColor="accent1" w:themeShade="BF"/>
          <w:lang w:eastAsia="ru-RU"/>
        </w:rPr>
        <w:sectPr>
          <w:footerReference w:type="default" r:id="rId11"/>
          <w:footnotePr/>
          <w:endnotePr/>
          <w:type w:val="nextPage"/>
          <w:pgSz w:h="16838" w:orient="portrait" w:w="11906"/>
          <w:pgMar w:top="1134" w:right="850" w:bottom="1134" w:left="1417" w:header="709" w:footer="709" w:gutter="0"/>
          <w:cols w:num="1" w:sep="0" w:space="708" w:equalWidth="1"/>
        </w:sectPr>
      </w:pPr>
      <w:r>
        <w:rPr>
          <w:rFonts w:ascii="Arial" w:hAnsi="Arial" w:cs="Arial"/>
          <w:color w:val="2e74b5" w:themeColor="accent1" w:themeShade="BF"/>
          <w:lang w:eastAsia="ru-RU"/>
        </w:rPr>
      </w:r>
      <w:r>
        <w:rPr>
          <w:rFonts w:ascii="Arial" w:hAnsi="Arial" w:cs="Arial"/>
          <w:color w:val="2e74b5" w:themeColor="accent1" w:themeShade="BF"/>
          <w:lang w:eastAsia="ru-RU"/>
        </w:rPr>
      </w:r>
    </w:p>
    <w:p>
      <w:pPr>
        <w:pStyle w:val="752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8" w:name="_Toc153194151"/>
      <w:r>
        <w:rPr>
          <w:b/>
          <w:bCs/>
          <w:sz w:val="28"/>
          <w:szCs w:val="28"/>
          <w:u w:val="none"/>
          <w:lang w:val="uk-UA"/>
        </w:rPr>
        <w:t xml:space="preserve">5</w:t>
      </w:r>
      <w:r>
        <w:rPr>
          <w:b/>
          <w:bCs/>
          <w:sz w:val="28"/>
          <w:szCs w:val="28"/>
          <w:u w:val="none"/>
          <w:lang w:val="uk-UA"/>
        </w:rPr>
        <w:t xml:space="preserve"> </w:t>
      </w:r>
      <w:r>
        <w:rPr>
          <w:b/>
          <w:bCs/>
          <w:sz w:val="28"/>
          <w:szCs w:val="28"/>
          <w:u w:val="none"/>
          <w:lang w:val="uk-UA"/>
        </w:rPr>
        <w:t xml:space="preserve">І</w:t>
      </w:r>
      <w:r>
        <w:rPr>
          <w:b/>
          <w:bCs/>
          <w:sz w:val="28"/>
          <w:szCs w:val="28"/>
          <w:u w:val="none"/>
          <w:lang w:val="uk-UA"/>
        </w:rPr>
        <w:t xml:space="preserve">нформація про заходи щодо впровадження найкращих існуючих технологій виробництва</w:t>
      </w:r>
      <w:bookmarkEnd w:id="8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Style w:val="772"/>
        <w:pBdr/>
        <w:spacing/>
        <w:ind w:firstLine="720"/>
        <w:jc w:val="both"/>
        <w:rPr>
          <w:bCs/>
          <w:lang w:val="uk-UA"/>
        </w:rPr>
      </w:pPr>
      <w:r>
        <w:rPr>
          <w:lang w:val="uk-UA"/>
        </w:rPr>
        <w:t xml:space="preserve">Підприємство відноситься до другої групи об’єктів по складу Документів, у яких обґрунтовуються обсяги викидів, тому інформація про заходи щодо впровадження найкращих існуючих технологій виробництва не надається згідно п. 4 розділу І Інструкції </w:t>
      </w:r>
      <w:r>
        <w:rPr>
          <w:bCs/>
          <w:lang w:val="uk-UA"/>
        </w:rPr>
        <w:t xml:space="preserve"> [12].</w:t>
      </w:r>
      <w:r>
        <w:rPr>
          <w:bCs/>
          <w:lang w:val="uk-UA"/>
        </w:rPr>
      </w:r>
    </w:p>
    <w:p>
      <w:pPr>
        <w:pStyle w:val="752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9" w:name="_Toc153194152"/>
      <w:r>
        <w:rPr>
          <w:b/>
          <w:bCs/>
          <w:sz w:val="28"/>
          <w:szCs w:val="28"/>
          <w:u w:val="none"/>
          <w:lang w:val="uk-UA"/>
        </w:rPr>
        <w:t xml:space="preserve">6</w:t>
      </w:r>
      <w:r>
        <w:rPr>
          <w:b/>
          <w:bCs/>
          <w:sz w:val="28"/>
          <w:szCs w:val="28"/>
          <w:u w:val="none"/>
          <w:lang w:val="uk-UA"/>
        </w:rPr>
        <w:t xml:space="preserve"> Перелік заходів щодо скорочення викидів забруднюючих речовин</w:t>
      </w:r>
      <w:bookmarkEnd w:id="9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досягнення встановлених нормативів </w:t>
      </w:r>
      <w:r>
        <w:rPr>
          <w:b/>
          <w:sz w:val="28"/>
          <w:szCs w:val="28"/>
        </w:rPr>
        <w:t xml:space="preserve">граничнодопустимих викидів для найбільш поширених і небезпечних забруднюючих речовин</w:t>
      </w:r>
      <w:r>
        <w:rPr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проммайданчику ГСЛ (Прилуки)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ПРЦЕО </w:t>
      </w:r>
      <w:r>
        <w:rPr>
          <w:sz w:val="28"/>
          <w:szCs w:val="28"/>
        </w:rPr>
        <w:t xml:space="preserve">та АЗС (Прилуки) </w:t>
      </w:r>
      <w:r>
        <w:rPr>
          <w:sz w:val="28"/>
          <w:szCs w:val="28"/>
        </w:rPr>
        <w:t xml:space="preserve">НГВУ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Чернігівнафтогаз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 ПАТ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відсутні стаціонарні джерела викидів забруднюючих речовин з показниками, що перевищують встановлені нормативи граничнодопустимих вик</w:t>
      </w:r>
      <w:r>
        <w:rPr>
          <w:sz w:val="28"/>
          <w:szCs w:val="28"/>
        </w:rPr>
        <w:t xml:space="preserve">идів для найбільш поширених і небезпечних забруднюючих речовин. Заходи щодо скорочення викидів забруднюючих речовин по досягненню встановлених нормативів граничнодопустимих викидів для найбільш поширених і небезпечних забруднюючих речовин не розробляються.</w:t>
      </w:r>
      <w:r>
        <w:rPr>
          <w:sz w:val="28"/>
          <w:szCs w:val="28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запобігання перевищенню встановлених нормативів граничнодопустимих викидів у процесі виробництва</w:t>
      </w:r>
      <w:r>
        <w:rPr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Усі роботи на підприємстві повинні здійснюватися відповідно з затвердженими технологічними документами (технологічний регламент виробничого процесу, інструкцій і технологічних карт процесів).</w:t>
      </w:r>
      <w:r>
        <w:rPr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Сировина </w:t>
      </w:r>
      <w:r>
        <w:rPr>
          <w:sz w:val="28"/>
          <w:szCs w:val="28"/>
        </w:rPr>
        <w:t xml:space="preserve">та матеріали, що використовується у виробничих процесах, повинна відповідати технічним умовам (погодженим у встановленому законодавством порядку), державним стандартам, санітарним нормам та регламентам технологічних процесів. Використовувати тільки ту сиро</w:t>
      </w:r>
      <w:r>
        <w:rPr>
          <w:sz w:val="28"/>
          <w:szCs w:val="28"/>
        </w:rPr>
        <w:t xml:space="preserve">вину, що закладена технічним регламентом, сировинною базою та має висновки державної санітарно-епідеміологічної експертизи. Проводити регулярний контроль відповідності використаної при виробництві сировини та допоміжних матеріалів медичним вимогам безпеки.</w:t>
      </w:r>
      <w:r>
        <w:rPr>
          <w:sz w:val="28"/>
          <w:szCs w:val="28"/>
        </w:rPr>
      </w:r>
    </w:p>
    <w:p>
      <w:pPr>
        <w:pBdr/>
        <w:tabs>
          <w:tab w:val="left" w:leader="none" w:pos="916"/>
          <w:tab w:val="left" w:leader="none" w:pos="1320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Потужність встановленого обладнання не може бути перевищена у процесі експлуатації. Проводити систематичний контроль виробничих процесів, профілактичний огляд та ремонт </w:t>
      </w:r>
      <w:r>
        <w:rPr>
          <w:sz w:val="28"/>
          <w:szCs w:val="28"/>
          <w:lang w:eastAsia="ru-RU"/>
        </w:rPr>
        <w:t xml:space="preserve">технологічного</w:t>
      </w:r>
      <w:r>
        <w:rPr>
          <w:sz w:val="28"/>
          <w:szCs w:val="28"/>
        </w:rPr>
        <w:t xml:space="preserve"> обладнання.</w:t>
      </w:r>
      <w:r>
        <w:rPr>
          <w:sz w:val="28"/>
          <w:szCs w:val="28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обмеження обсягів залпових викидів забруднюючих речовин в атмосферне повітря</w:t>
      </w:r>
      <w:r>
        <w:rPr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Дозволений обсяг залпових викидів не повинен перевищувати 3-х кратне значення гранично допустимого викиду відповідно до законодавства. Дозволені обсяги залпових викидів наведені в таблиці 9.5.</w:t>
      </w:r>
      <w:r>
        <w:rPr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</w:t>
      </w:r>
      <w:r>
        <w:rPr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плані розвитку підприємства не передбачено його ліквідацію, тому заходи щодо остаточного припинення діяльності, пов'язаної з викидами забруднюючих речовин в атмосферне повітря, та приведення місця діяльності у задовільний стан не розроблені. </w:t>
      </w:r>
      <w:r>
        <w:rPr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20" w:before="120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Таблиця 10.1</w:t>
      </w:r>
      <w:r>
        <w:rPr>
          <w:bCs/>
          <w:sz w:val="28"/>
          <w:szCs w:val="28"/>
          <w:lang w:eastAsia="ru-RU"/>
        </w:rPr>
        <w:t xml:space="preserve"> – Заходи щодо скорочення викидів забруднюючих речовин</w:t>
      </w:r>
      <w:r>
        <w:rPr>
          <w:sz w:val="28"/>
          <w:szCs w:val="28"/>
        </w:rPr>
      </w:r>
    </w:p>
    <w:tbl>
      <w:tblPr>
        <w:tblW w:w="5005" w:type="pct"/>
        <w:tblInd w:w="-5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103"/>
        <w:gridCol w:w="1220"/>
        <w:gridCol w:w="1218"/>
        <w:gridCol w:w="1646"/>
        <w:gridCol w:w="236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 виробничого та технологічного процесу, технологічного устаткування (установки)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Наймену-вання заходу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Строк виконання заходу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Номер джерела викиду на карті-схемі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Загальний обсяг витрат  за  кошторисною вартістю, тис.грн.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Очікуване зменшення викидів забруднюючих речовин в атмосферне повітря після впровадження заходу, т/рік 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7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7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Заходи щодо </w:t>
      </w:r>
      <w:r>
        <w:rPr>
          <w:bCs/>
          <w:sz w:val="28"/>
          <w:szCs w:val="28"/>
          <w:lang w:eastAsia="ru-RU"/>
        </w:rPr>
        <w:t xml:space="preserve">скорочення викидів забруднюючих речовин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плануються, оскільки згідно розрахунку розсіювання на межі СЗЗ відсутні перевищення гігієнічних нормативів повітря населених місць, тому таблиця 10.1 не заповнена.</w:t>
      </w:r>
      <w:r>
        <w:rPr>
          <w:b/>
          <w:sz w:val="28"/>
          <w:szCs w:val="28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b/>
          <w:sz w:val="28"/>
          <w:szCs w:val="28"/>
        </w:rPr>
      </w:r>
    </w:p>
    <w:p>
      <w:pPr>
        <w:pBdr/>
        <w:tabs>
          <w:tab w:val="left" w:leader="none" w:pos="6480"/>
          <w:tab w:val="left" w:leader="none" w:pos="684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Перелік заходів щодо охорони атмосферного повітря на випадок виникнення надзвичайних ситуацій техногенного та природного характеру, ліквідації наслідків </w:t>
      </w:r>
      <w:r>
        <w:rPr>
          <w:sz w:val="28"/>
          <w:szCs w:val="28"/>
        </w:rPr>
        <w:t xml:space="preserve">забруднення атмосферного повітря розробляється для об'єктів, які згідно із законодавством віднесені до об'єктів підвищеної небезпеки відповідного класу (включені до Державного електронного реєстру об'єктів підвищеної небезпеки), і надаються в таблиці 10.2 </w:t>
      </w:r>
      <w:r>
        <w:rPr>
          <w:bCs/>
          <w:sz w:val="28"/>
          <w:szCs w:val="28"/>
        </w:rPr>
        <w:t xml:space="preserve">згідно з додатком 10 до Інструкції  [12]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ГСЛ (Прилуки)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ПРЦЕО </w:t>
      </w:r>
      <w:r>
        <w:rPr>
          <w:sz w:val="28"/>
          <w:szCs w:val="28"/>
        </w:rPr>
        <w:t xml:space="preserve">та АЗС (Прилуки) </w:t>
      </w:r>
      <w:r>
        <w:rPr>
          <w:sz w:val="28"/>
          <w:szCs w:val="28"/>
        </w:rPr>
        <w:t xml:space="preserve">НГВУ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Чернігівнафтогаз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 ПАТ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включен</w:t>
      </w:r>
      <w:r>
        <w:rPr>
          <w:sz w:val="28"/>
          <w:szCs w:val="28"/>
        </w:rPr>
        <w:t xml:space="preserve">і</w:t>
      </w:r>
      <w:r>
        <w:rPr>
          <w:sz w:val="28"/>
          <w:szCs w:val="28"/>
        </w:rPr>
        <w:t xml:space="preserve"> до Державного електронного реєстру об'єктів підвищеної небезпеки, тому заходи не розроблялися.</w:t>
      </w:r>
      <w:r>
        <w:rPr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 w:clear="all"/>
      </w:r>
      <w:r>
        <w:rPr>
          <w:b/>
          <w:bCs/>
          <w:sz w:val="28"/>
          <w:szCs w:val="28"/>
          <w:lang w:eastAsia="ru-RU"/>
        </w:rPr>
      </w:r>
    </w:p>
    <w:p>
      <w:pPr>
        <w:pBdr/>
        <w:tabs>
          <w:tab w:val="left" w:leader="none" w:pos="6480"/>
          <w:tab w:val="left" w:leader="none" w:pos="6840"/>
        </w:tabs>
        <w:spacing w:after="120" w:before="120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Таблиця 10.2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 xml:space="preserve">Перелік заходів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sz w:val="28"/>
          <w:szCs w:val="28"/>
        </w:rPr>
      </w:r>
    </w:p>
    <w:tbl>
      <w:tblPr>
        <w:tblW w:w="5005" w:type="pct"/>
        <w:tblInd w:w="-5" w:type="dxa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991"/>
        <w:gridCol w:w="1829"/>
        <w:gridCol w:w="1361"/>
        <w:gridCol w:w="1444"/>
        <w:gridCol w:w="1349"/>
        <w:gridCol w:w="140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9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</w:t>
            </w:r>
            <w:r>
              <w:rPr>
                <w:sz w:val="22"/>
                <w:szCs w:val="22"/>
                <w:lang w:eastAsia="ru-RU"/>
              </w:rPr>
              <w:t xml:space="preserve">-</w:t>
            </w:r>
            <w:r>
              <w:rPr>
                <w:sz w:val="22"/>
                <w:szCs w:val="22"/>
                <w:lang w:eastAsia="ru-RU"/>
              </w:rPr>
              <w:t xml:space="preserve">вання об'єкта підвищеної небезпеки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1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Місце-знахо</w:t>
            </w:r>
            <w:r>
              <w:rPr>
                <w:sz w:val="22"/>
                <w:szCs w:val="22"/>
                <w:lang w:eastAsia="ru-RU"/>
              </w:rPr>
              <w:t xml:space="preserve">-</w:t>
            </w:r>
            <w:r>
              <w:rPr>
                <w:sz w:val="22"/>
                <w:szCs w:val="22"/>
                <w:lang w:eastAsia="ru-RU"/>
              </w:rPr>
              <w:t xml:space="preserve">дження об'єкта підви</w:t>
            </w:r>
            <w:r>
              <w:rPr>
                <w:sz w:val="22"/>
                <w:szCs w:val="22"/>
                <w:lang w:eastAsia="ru-RU"/>
              </w:rPr>
              <w:t xml:space="preserve">-</w:t>
            </w:r>
            <w:r>
              <w:rPr>
                <w:sz w:val="22"/>
                <w:szCs w:val="22"/>
                <w:lang w:eastAsia="ru-RU"/>
              </w:rPr>
              <w:t xml:space="preserve">щеної небез</w:t>
            </w:r>
            <w:r>
              <w:rPr>
                <w:sz w:val="22"/>
                <w:szCs w:val="22"/>
                <w:lang w:eastAsia="ru-RU"/>
              </w:rPr>
              <w:t xml:space="preserve">-</w:t>
            </w:r>
            <w:r>
              <w:rPr>
                <w:sz w:val="22"/>
                <w:szCs w:val="22"/>
                <w:lang w:eastAsia="ru-RU"/>
              </w:rPr>
              <w:t xml:space="preserve">пеки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7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Найменування, маса, категорія небезпечної речовини чи групи речовин, що тимчасово або постійно використовуються, переробляються, виготовляються, транспортуються, зберігаються на об'єкті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0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Індивідуальна назва, клас небезпечних речовин та категорія небезпеки, за якими проводилася ідентифікація об'єкта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6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Найменування забруднюючих речовин, які у разі виникнення надзвичайної ситуації техногенного або природного характеру можуть надійти в атмосферне повітря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0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</w:t>
            </w:r>
            <w:r>
              <w:rPr>
                <w:sz w:val="22"/>
                <w:szCs w:val="22"/>
                <w:lang w:eastAsia="ru-RU"/>
              </w:rPr>
              <w:t xml:space="preserve">-</w:t>
            </w:r>
            <w:r>
              <w:rPr>
                <w:sz w:val="22"/>
                <w:szCs w:val="22"/>
                <w:lang w:eastAsia="ru-RU"/>
              </w:rPr>
              <w:t xml:space="preserve">вання заходів щодо охорони атмосферного повітря у разі виникнення надзвичайної ситуації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7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Найменування заходів щодо ліквідації наслідків забруднення атмосферного повітря у разі виникнення надзвичайної ситуації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 не розроблялися</w:t>
      </w:r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тому таблиця 10.2 не заповнена.</w:t>
      </w:r>
      <w:r>
        <w:rPr>
          <w:sz w:val="28"/>
          <w:szCs w:val="28"/>
          <w:shd w:val="clear" w:color="auto" w:fill="ffffff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охорони атмосферного повітря при несприятливих метеорологічних умовах</w:t>
      </w:r>
      <w:r>
        <w:rPr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 щодо охорони атмосферного повітря при несприятливих метеорологічних умовах здійснюються відповідно до вимог Методичних вказівок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Регулирование выбросов при неблагоприятных метеорологических условиях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(РД 52.04.52-85), затверджених Державним комітетом СРСР по гідрометеорології та контролю природного середовища 01.12.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86, для об'єктів, які розташовані в населених пунктах, де Державною гідрометеорологічною службою України проводиться або планується проведення прогнозування несприятл</w:t>
      </w:r>
      <w:r>
        <w:rPr>
          <w:sz w:val="28"/>
          <w:szCs w:val="28"/>
        </w:rPr>
        <w:t xml:space="preserve">ивих метеорологічних умов. Для запобігання утворення підвищених рівнів забруднення атмосфери в подібних ситуаціях на підприємстві опрацьовуються заходи по скороченню викидів в період НМУ. Заходи по тимчасовому скороченню викидів в період НМУ є обов’язковим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і повинні виконуватися підприємством після одержання попередження про підвищення рівня забруднення атмосфери.</w:t>
      </w:r>
      <w:r>
        <w:rPr>
          <w:sz w:val="28"/>
          <w:szCs w:val="28"/>
        </w:rPr>
      </w:r>
    </w:p>
    <w:p>
      <w:pPr>
        <w:pBdr/>
        <w:tabs>
          <w:tab w:val="left" w:leader="none" w:pos="6480"/>
          <w:tab w:val="left" w:leader="none" w:pos="6840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м. Прилуки Чернігівський обласний центр з гідрометеорології прогнозування НМУ не проводить. Тому заходи щодо охорони атмосферного повітря при несприятливих метеорологічних умовах не розробляються.</w:t>
      </w:r>
      <w:r>
        <w:rPr>
          <w:sz w:val="28"/>
          <w:szCs w:val="28"/>
        </w:rPr>
      </w:r>
    </w:p>
    <w:p>
      <w:pPr>
        <w:pStyle w:val="752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10" w:name="_Toc153194153"/>
      <w:r>
        <w:rPr>
          <w:b/>
          <w:bCs/>
          <w:sz w:val="28"/>
          <w:szCs w:val="28"/>
          <w:u w:val="none"/>
          <w:lang w:val="uk-UA"/>
        </w:rPr>
        <w:t xml:space="preserve">7</w:t>
      </w:r>
      <w:r>
        <w:rPr>
          <w:b/>
          <w:bCs/>
          <w:sz w:val="28"/>
          <w:szCs w:val="28"/>
          <w:u w:val="none"/>
          <w:lang w:val="uk-UA"/>
        </w:rPr>
        <w:t xml:space="preserve"> </w:t>
      </w:r>
      <w:r>
        <w:rPr>
          <w:b/>
          <w:bCs/>
          <w:sz w:val="28"/>
          <w:szCs w:val="28"/>
          <w:u w:val="none"/>
          <w:lang w:val="uk-UA"/>
        </w:rPr>
        <w:t xml:space="preserve">Д</w:t>
      </w:r>
      <w:r>
        <w:rPr>
          <w:b/>
          <w:bCs/>
          <w:sz w:val="28"/>
          <w:szCs w:val="28"/>
          <w:u w:val="none"/>
          <w:lang w:val="uk-UA"/>
        </w:rPr>
        <w:t xml:space="preserve">отримання виконання природоохоронних заходів щодо скорочення викидів</w:t>
      </w:r>
      <w:bookmarkEnd w:id="10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color w:val="2e74b5" w:themeColor="accent1" w:themeShade="BF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Заходи щодо скорочення викидів забруднюючих речовин </w:t>
      </w:r>
      <w:r>
        <w:rPr>
          <w:bCs/>
          <w:sz w:val="28"/>
          <w:szCs w:val="28"/>
          <w:lang w:eastAsia="ru-RU"/>
        </w:rPr>
        <w:t xml:space="preserve">не планувалисяся, тому інформація щодо дотримання виконання природоохоронних заходів щодо скорочення викидів не надається.</w:t>
      </w:r>
      <w:r>
        <w:rPr>
          <w:color w:val="2e74b5" w:themeColor="accent1" w:themeShade="BF"/>
          <w:sz w:val="28"/>
          <w:szCs w:val="28"/>
          <w:lang w:eastAsia="ru-RU"/>
        </w:rPr>
      </w:r>
    </w:p>
    <w:p>
      <w:pPr>
        <w:pBdr/>
        <w:spacing w:after="120" w:before="120"/>
        <w:ind/>
        <w:rPr>
          <w:color w:val="2e74b5" w:themeColor="accent1" w:themeShade="BF"/>
          <w:sz w:val="28"/>
          <w:szCs w:val="28"/>
          <w:lang w:eastAsia="ru-RU"/>
        </w:rPr>
        <w:sectPr>
          <w:footerReference w:type="default" r:id="rId12"/>
          <w:footnotePr/>
          <w:endnotePr/>
          <w:type w:val="nextPage"/>
          <w:pgSz w:h="16838" w:orient="portrait" w:w="11906"/>
          <w:pgMar w:top="1134" w:right="850" w:bottom="1134" w:left="1417" w:header="709" w:footer="709" w:gutter="0"/>
          <w:cols w:num="1" w:sep="0" w:space="708" w:equalWidth="1"/>
        </w:sectPr>
      </w:pPr>
      <w:r>
        <w:rPr>
          <w:color w:val="2e74b5" w:themeColor="accent1" w:themeShade="BF"/>
          <w:sz w:val="28"/>
          <w:szCs w:val="28"/>
          <w:lang w:eastAsia="ru-RU"/>
        </w:rPr>
      </w:r>
      <w:r>
        <w:rPr>
          <w:color w:val="2e74b5" w:themeColor="accent1" w:themeShade="BF"/>
          <w:sz w:val="28"/>
          <w:szCs w:val="28"/>
          <w:lang w:eastAsia="ru-RU"/>
        </w:rPr>
      </w:r>
    </w:p>
    <w:p>
      <w:pPr>
        <w:pStyle w:val="752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11" w:name="_Toc153194154"/>
      <w:r>
        <w:rPr>
          <w:b/>
          <w:bCs/>
          <w:sz w:val="28"/>
          <w:szCs w:val="28"/>
          <w:u w:val="none"/>
          <w:lang w:val="uk-UA"/>
        </w:rPr>
        <w:t xml:space="preserve">8</w:t>
      </w:r>
      <w:r>
        <w:rPr>
          <w:b/>
          <w:bCs/>
          <w:sz w:val="28"/>
          <w:szCs w:val="28"/>
          <w:u w:val="none"/>
          <w:lang w:val="uk-UA"/>
        </w:rPr>
        <w:t xml:space="preserve"> Пропозиції щодо дозволених обсягів викидів забруднюючих речовин в атмосферне повітря стаціонарними джерелами</w:t>
      </w:r>
      <w:bookmarkEnd w:id="11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Bdr/>
        <w:spacing w:after="120" w:before="12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основних джерел викидів</w:t>
      </w:r>
      <w:r>
        <w:rPr>
          <w:b/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основних джерел викидів, не розробляються, оскільки вказані джерела на виробничому майданчику відсутні.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b/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Пропозиції щодо дозволених обсягів викидів забруднюючих речовин, які віднесені до інших джерел викидів, наведені таблицях 9.2 згідно з додатком 9 до Інструкції  [12].</w:t>
      </w:r>
      <w:r>
        <w:rPr>
          <w:bCs/>
          <w:sz w:val="28"/>
          <w:szCs w:val="28"/>
        </w:rPr>
      </w:r>
    </w:p>
    <w:p>
      <w:pPr>
        <w:pBdr/>
        <w:spacing/>
        <w:ind w:firstLine="720"/>
        <w:jc w:val="both"/>
        <w:rPr>
          <w:bCs/>
          <w:color w:val="2e74b5" w:themeColor="accent1" w:themeShade="BF"/>
        </w:rPr>
      </w:pPr>
      <w:r>
        <w:rPr>
          <w:bCs/>
          <w:color w:val="2e74b5" w:themeColor="accent1" w:themeShade="BF"/>
        </w:rPr>
      </w:r>
      <w:r>
        <w:rPr>
          <w:bCs/>
          <w:color w:val="2e74b5" w:themeColor="accent1" w:themeShade="BF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538"/>
        <w:gridCol w:w="1876"/>
        <w:gridCol w:w="1947"/>
        <w:gridCol w:w="1847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Димова труба. 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Котельня 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Оксид вуглецю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0,07908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- з дати отримання дозволу</w:t>
            </w:r>
            <w:r/>
          </w:p>
        </w:tc>
      </w:tr>
      <w:tr>
        <w:trPr>
          <w:trHeight w:val="67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Оксиди азоту (оксид та діоксид азоту) у перерахунку на діоксид азоту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0,254968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/>
        <w:ind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519"/>
        <w:gridCol w:w="1914"/>
        <w:gridCol w:w="1901"/>
        <w:gridCol w:w="1855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9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6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Димова труба.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Котельня 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Оксид вуглецю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0,012425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7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Оксиди азоту (оксид та діоксид азоту) у перерахунку на діоксид азоту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0,07291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4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/>
        <w:ind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538"/>
        <w:gridCol w:w="1876"/>
        <w:gridCol w:w="1947"/>
        <w:gridCol w:w="1847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Свіча.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Шафа ГРП 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Метан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1,551946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</w:t>
            </w:r>
            <w:r>
              <w:rPr>
                <w:lang w:eastAsia="ru-RU"/>
              </w:rPr>
              <w:t xml:space="preserve"> речовини </w:t>
            </w:r>
            <w:r>
              <w:rPr>
                <w:lang w:val="ru-RU"/>
              </w:rPr>
              <w:t xml:space="preserve">Бутан, Пропан, Етан </w:t>
            </w:r>
            <w:r>
              <w:rPr>
                <w:lang w:eastAsia="ru-RU"/>
              </w:rPr>
              <w:t xml:space="preserve">гранично допустимі викиди не встановлено, </w:t>
            </w:r>
            <w:r>
              <w:rPr>
                <w:lang w:eastAsia="uk-UA"/>
              </w:rPr>
              <w:t xml:space="preserve">так як викиди цих забруднюючих речовин не підлягають нормуванню і за результатами проведеного розрахунку немає перевищення гігієнічних нормативів</w:t>
            </w:r>
            <w:r>
              <w:rPr>
                <w:color w:val="000000"/>
              </w:rPr>
            </w:r>
          </w:p>
        </w:tc>
      </w:tr>
    </w:tbl>
    <w:p>
      <w:pPr>
        <w:pBdr/>
        <w:spacing/>
        <w:ind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Bdr/>
        <w:spacing/>
        <w:ind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 w:clear="all"/>
      </w:r>
      <w:r>
        <w:rPr>
          <w:b/>
          <w:iCs/>
          <w:sz w:val="22"/>
          <w:szCs w:val="22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538"/>
        <w:gridCol w:w="1876"/>
        <w:gridCol w:w="1947"/>
        <w:gridCol w:w="1847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Свіча.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Шафа ГРП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Метан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0,248311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</w:t>
            </w:r>
            <w:r>
              <w:rPr>
                <w:lang w:eastAsia="ru-RU"/>
              </w:rPr>
              <w:t xml:space="preserve"> речовини </w:t>
            </w:r>
            <w:r>
              <w:rPr>
                <w:lang w:val="ru-RU"/>
              </w:rPr>
              <w:t xml:space="preserve">Бутан, Пропан, Етан </w:t>
            </w:r>
            <w:r>
              <w:rPr>
                <w:lang w:eastAsia="ru-RU"/>
              </w:rPr>
              <w:t xml:space="preserve">гранично допустимі викиди не встановлено, </w:t>
            </w:r>
            <w:r>
              <w:rPr>
                <w:lang w:eastAsia="uk-UA"/>
              </w:rPr>
              <w:t xml:space="preserve">так як викиди цих забруднюючих речовин не підлягають нормуванню і за результатами проведеного розрахунку немає перевищення гігієнічних нормативів</w:t>
            </w:r>
            <w:r>
              <w:rPr>
                <w:color w:val="000000"/>
              </w:rPr>
            </w:r>
          </w:p>
        </w:tc>
      </w:tr>
    </w:tbl>
    <w:p>
      <w:pPr>
        <w:pBdr/>
        <w:spacing/>
        <w:ind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</w:r>
      <w:r>
        <w:rPr>
          <w:b/>
          <w:iCs/>
          <w:sz w:val="22"/>
          <w:szCs w:val="22"/>
        </w:rPr>
      </w:r>
    </w:p>
    <w:p>
      <w:pPr>
        <w:pBdr/>
        <w:spacing w:after="120"/>
        <w:ind/>
        <w:jc w:val="center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</w:rPr>
        <w:t xml:space="preserve">Таблиця 9.2.1</w: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sz w:val="28"/>
          <w:szCs w:val="28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538"/>
        <w:gridCol w:w="1876"/>
        <w:gridCol w:w="1947"/>
        <w:gridCol w:w="1847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Труба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Кузня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Найменування забруднюючої речовини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Гранично допустимий викид відповідно до законодавства,   мг/м3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Затверджений гранично допустимий викид, мг/м3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Строк досягнення затвердженого значення</w:t>
            </w:r>
            <w:r>
              <w:rPr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Речовини у вигляді суспен-дованих твердих частинок, недиференційованих за складом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150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150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Оксид вуглецю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0,00475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45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Свинець та його сполуки в перерахунку на свинець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4E-6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7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Оксиди азоту (оксид та діоксид азоту) у перерахунку на діоксид азоту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0,008974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45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Діоксид сірки (діоксид та триоксид) у перерахунку на діоксид сірки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0,030943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/>
        <w:ind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Bdr/>
        <w:spacing w:after="120"/>
        <w:ind/>
        <w:jc w:val="center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</w:rPr>
        <w:t xml:space="preserve">Таблиця 9.2.2</w: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sz w:val="28"/>
          <w:szCs w:val="28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44"/>
        <w:gridCol w:w="2323"/>
        <w:gridCol w:w="91"/>
        <w:gridCol w:w="1812"/>
        <w:gridCol w:w="135"/>
        <w:gridCol w:w="1849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5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28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</w:t>
            </w:r>
            <w:r>
              <w:rPr>
                <w:b/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Труба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29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Заточне відділення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5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28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</w:t>
            </w:r>
            <w:r>
              <w:rPr>
                <w:b/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Труба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29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Деревообробка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5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28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14</w:t>
            </w:r>
            <w:r>
              <w:rPr>
                <w:b/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Труба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29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Склад цементу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5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28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29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7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Найменування забруднюючої речовини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Гранично допустимий викид відповідно до законодавства, мг/м3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Затверджений гранично допустимий викид, мг/м3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Строк досягнення затвердженого значення</w:t>
            </w:r>
            <w:r>
              <w:rPr>
                <w:lang w:val="ru-RU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7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Речовини у вигляді суспен-дованих твердих частинок, недиференційованих за складом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150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150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57"/>
        <w:gridCol w:w="1795"/>
        <w:gridCol w:w="4039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3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95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Труба.    Зварювальний пост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45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Залізо та його сполуки (у перерахунку на залізо)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1" w:type="pct"/>
            <w:vAlign w:val="bottom"/>
            <w:textDirection w:val="lrTb"/>
            <w:noWrap/>
          </w:tcPr>
          <w:p>
            <w:pPr>
              <w:pBdr/>
              <w:spacing w:after="160" w:line="256" w:lineRule="auto"/>
              <w:ind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0,00068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95" w:type="pct"/>
            <w:vAlign w:val="bottom"/>
            <w:textDirection w:val="lrTb"/>
            <w:noWrap/>
          </w:tcPr>
          <w:p>
            <w:pPr>
              <w:pBdr/>
              <w:spacing w:after="160" w:line="256" w:lineRule="auto"/>
              <w:ind/>
              <w:jc w:val="right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45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Манган та його сполуки в перерахунку на діоксид мангану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1" w:type="pct"/>
            <w:vAlign w:val="bottom"/>
            <w:textDirection w:val="lrTb"/>
            <w:noWrap/>
          </w:tcPr>
          <w:p>
            <w:pPr>
              <w:pBdr/>
              <w:spacing w:after="160" w:line="256" w:lineRule="auto"/>
              <w:ind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7E-5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95" w:type="pct"/>
            <w:vAlign w:val="bottom"/>
            <w:textDirection w:val="lrTb"/>
            <w:noWrap/>
          </w:tcPr>
          <w:p>
            <w:pPr>
              <w:pBdr/>
              <w:spacing w:after="160" w:line="256" w:lineRule="auto"/>
              <w:ind/>
              <w:jc w:val="right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/>
        <w:ind/>
        <w:jc w:val="center"/>
        <w:rPr>
          <w:b/>
          <w:iCs/>
          <w:lang w:val="ru-RU"/>
        </w:rPr>
      </w:pPr>
      <w:r>
        <w:rPr>
          <w:b/>
          <w:iCs/>
          <w:lang w:val="ru-RU"/>
        </w:rPr>
      </w:r>
      <w:r>
        <w:rPr>
          <w:b/>
          <w:iCs/>
          <w:lang w:val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1247"/>
        <w:gridCol w:w="1166"/>
        <w:gridCol w:w="3794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Труба.    Зварювальний пост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Оксид вуглецю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0,001663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45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Залізо та його сполуки (у перерахунку на залізо)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0,001863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45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Манган та його сполуки в перерахунку на діоксид мангану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0,000136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7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Оксиди азоту (оксид та діоксид азоту) у перерахунку на діоксид азоту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0,000338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7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Фториди, що легко розчиняються (наприклад, NaF) та їх сполуки в перерахунку на фтор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0,0006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7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Фтор і його пароподібні та газоподібні сполуки в перерахунку на фтористий водень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0,000158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 w:after="120" w:before="120"/>
        <w:ind/>
        <w:jc w:val="center"/>
        <w:rPr>
          <w:spacing w:val="-6"/>
          <w:lang w:eastAsia="ru-RU"/>
        </w:rPr>
      </w:pPr>
      <w:r>
        <w:rPr>
          <w:spacing w:val="-6"/>
          <w:lang w:eastAsia="ru-RU"/>
        </w:rPr>
        <w:t xml:space="preserve">Для речовин, для яких </w:t>
      </w:r>
      <w:r>
        <w:rPr>
          <w:spacing w:val="-6"/>
        </w:rPr>
        <w:t xml:space="preserve">інструментальні вимірювання не проводилися через відсутність можливості проведення вимірювань,</w:t>
      </w:r>
      <w:r>
        <w:rPr>
          <w:spacing w:val="-6"/>
          <w:lang w:eastAsia="ru-RU"/>
        </w:rPr>
        <w:t xml:space="preserve"> встановлюються наступні величини масової витрати (г/сек):</w:t>
      </w:r>
      <w:r>
        <w:rPr>
          <w:spacing w:val="-6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166"/>
        <w:gridCol w:w="3794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Речовини у вигляді суспен-дованих твердих частинок, недиференційованих за складом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0,000125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 w:after="120" w:before="120"/>
        <w:ind/>
        <w:jc w:val="center"/>
        <w:rPr>
          <w:lang w:eastAsia="uk-UA"/>
        </w:rPr>
      </w:pPr>
      <w:r>
        <w:rPr>
          <w:color w:val="000000"/>
        </w:rPr>
        <w:t xml:space="preserve">Для</w:t>
      </w:r>
      <w:r>
        <w:rPr>
          <w:lang w:eastAsia="ru-RU"/>
        </w:rPr>
        <w:t xml:space="preserve"> речовини </w:t>
      </w:r>
      <w:r>
        <w:t xml:space="preserve">Фтористі сполуки погано розчинні неорганічні (фторид алюмінію, гексафторалюмінат натрію) у перерахунку на фтор  </w:t>
      </w:r>
      <w:r>
        <w:rPr>
          <w:lang w:eastAsia="ru-RU"/>
        </w:rPr>
        <w:t xml:space="preserve">гранично допустимі викиди не встановлено, </w:t>
      </w:r>
      <w:r>
        <w:rPr>
          <w:lang w:eastAsia="uk-UA"/>
        </w:rPr>
        <w:t xml:space="preserve">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</w:r>
      <w:r>
        <w:rPr>
          <w:lang w:eastAsia="uk-UA"/>
        </w:rPr>
      </w:r>
    </w:p>
    <w:p>
      <w:pPr>
        <w:pBdr/>
        <w:spacing/>
        <w:ind/>
        <w:rPr/>
      </w:pPr>
      <w:r/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2414"/>
        <w:gridCol w:w="1947"/>
        <w:gridCol w:w="1847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Труба.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Акумуляторна 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Сульфатна кислота (H</w:t>
            </w:r>
            <w:r>
              <w:rPr>
                <w:vertAlign w:val="subscript"/>
                <w:lang w:val="ru-RU"/>
              </w:rPr>
              <w:t xml:space="preserve">2</w:t>
            </w:r>
            <w:r>
              <w:rPr>
                <w:lang w:val="ru-RU"/>
              </w:rPr>
              <w:t xml:space="preserve">SO</w:t>
            </w:r>
            <w:r>
              <w:rPr>
                <w:vertAlign w:val="subscript"/>
                <w:lang w:val="ru-RU"/>
              </w:rPr>
              <w:t xml:space="preserve">4</w:t>
            </w:r>
            <w:r>
              <w:rPr>
                <w:lang w:val="ru-RU"/>
              </w:rPr>
              <w:t xml:space="preserve">) (cірчана кислота)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0,000306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Bdr/>
        <w:spacing/>
        <w:ind/>
        <w:rPr/>
      </w:pPr>
      <w:r>
        <w:br w:type="page" w:clear="all"/>
      </w:r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538"/>
        <w:gridCol w:w="1876"/>
        <w:gridCol w:w="3794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Труба.   Зварювальний пост 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Оксид вуглецю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0,000408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45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Залізо та його сполуки (у перерахунку на залізо)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0,003642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45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Манган та його сполуки в перерахунку на діоксид мангану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0,000122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7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Оксиди азоту (оксид та діоксид азоту) у перерахунку на діоксид азоту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0,0003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 w:after="120" w:before="120"/>
        <w:ind/>
        <w:jc w:val="center"/>
        <w:rPr>
          <w:spacing w:val="-6"/>
          <w:lang w:eastAsia="ru-RU"/>
        </w:rPr>
      </w:pPr>
      <w:r>
        <w:rPr>
          <w:spacing w:val="-6"/>
          <w:lang w:eastAsia="ru-RU"/>
        </w:rPr>
        <w:t xml:space="preserve">Для речовин, для яких </w:t>
      </w:r>
      <w:r>
        <w:rPr>
          <w:spacing w:val="-6"/>
        </w:rPr>
        <w:t xml:space="preserve">інструментальні вимірювання не проводилися через відсутність можливості проведення вимірювань,</w:t>
      </w:r>
      <w:r>
        <w:rPr>
          <w:spacing w:val="-6"/>
          <w:lang w:eastAsia="ru-RU"/>
        </w:rPr>
        <w:t xml:space="preserve"> встановлюються наступні величини масової витрати (г/сек):</w:t>
      </w:r>
      <w:r>
        <w:rPr>
          <w:spacing w:val="-6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166"/>
        <w:gridCol w:w="3794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Речовини у вигляді суспен-дованих твердих частинок, недиференційованих за складом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0,000133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 w:before="120"/>
        <w:ind/>
        <w:jc w:val="center"/>
        <w:rPr>
          <w:lang w:val="ru-RU"/>
        </w:rPr>
      </w:pPr>
      <w:r>
        <w:rPr>
          <w:color w:val="000000"/>
        </w:rPr>
        <w:t xml:space="preserve">Для</w:t>
      </w:r>
      <w:r>
        <w:rPr>
          <w:lang w:eastAsia="ru-RU"/>
        </w:rPr>
        <w:t xml:space="preserve"> речовини </w:t>
      </w:r>
      <w:r>
        <w:rPr>
          <w:lang w:val="ru-RU"/>
        </w:rPr>
        <w:t xml:space="preserve">Титану діоксид </w:t>
      </w:r>
      <w:r>
        <w:rPr>
          <w:lang w:eastAsia="ru-RU"/>
        </w:rPr>
        <w:t xml:space="preserve">гранично допустимі викиди не встановлено, </w:t>
      </w:r>
      <w:r>
        <w:rPr>
          <w:lang w:eastAsia="uk-UA"/>
        </w:rPr>
        <w:t xml:space="preserve">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</w:r>
      <w:r>
        <w:rPr>
          <w:lang w:val="ru-RU"/>
        </w:rPr>
      </w:r>
    </w:p>
    <w:p>
      <w:pPr>
        <w:pBdr/>
        <w:spacing/>
        <w:ind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1849"/>
        <w:gridCol w:w="3527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16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17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18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19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21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Труба. Насосна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37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38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39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40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41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42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43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44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23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45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64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масла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3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Для</w:t>
            </w:r>
            <w:r>
              <w:rPr>
                <w:lang w:eastAsia="ru-RU"/>
              </w:rPr>
              <w:t xml:space="preserve"> речовини </w:t>
            </w:r>
            <w:r>
              <w:rPr>
                <w:lang w:val="ru-RU"/>
              </w:rPr>
              <w:t xml:space="preserve">Масло мінеральне нафтове (веретенне, машинне, циліндров. та інш.) </w:t>
            </w:r>
            <w:r>
              <w:rPr>
                <w:lang w:eastAsia="ru-RU"/>
              </w:rPr>
              <w:t xml:space="preserve">гранично допустимі викиди не встановлено, </w:t>
            </w:r>
            <w:r>
              <w:rPr>
                <w:lang w:eastAsia="uk-UA"/>
              </w:rPr>
              <w:t xml:space="preserve">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      </w:r>
            <w:r>
              <w:rPr>
                <w:color w:val="000000"/>
                <w:lang w:val="ru-RU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2304"/>
        <w:gridCol w:w="4014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22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  метанолу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  метанолу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24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  метанолу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3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Спирт метиловий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0,001389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</w:tbl>
    <w:p>
      <w:pPr>
        <w:pBdr/>
        <w:spacing/>
        <w:ind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Bdr/>
        <w:spacing/>
        <w:ind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1793"/>
        <w:gridCol w:w="5035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26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1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Резервуар бензину РВС-300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27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1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Резервуар бензину РВС-1000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56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1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бензину № 1 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57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1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бензину № 2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58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1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бензину № 3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59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1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бензину № 4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60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1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бензину № 5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5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61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1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бензину № 6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3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Для</w:t>
            </w:r>
            <w:r>
              <w:rPr>
                <w:lang w:eastAsia="ru-RU"/>
              </w:rPr>
              <w:t xml:space="preserve"> речовини </w:t>
            </w:r>
            <w:r>
              <w:rPr>
                <w:lang w:val="ru-RU"/>
              </w:rPr>
              <w:t xml:space="preserve">Бензин (нафтовий,малосірчистий, в перерахунку на вуглець)  </w:t>
            </w:r>
            <w:r>
              <w:rPr>
                <w:lang w:eastAsia="ru-RU"/>
              </w:rPr>
              <w:t xml:space="preserve">гранично допустимі викиди не встановлено, </w:t>
            </w:r>
            <w:r>
              <w:rPr>
                <w:lang w:eastAsia="uk-UA"/>
              </w:rPr>
              <w:t xml:space="preserve">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      </w:r>
            <w:r>
              <w:rPr>
                <w:color w:val="000000"/>
                <w:lang w:val="ru-RU"/>
              </w:rPr>
            </w:r>
          </w:p>
        </w:tc>
      </w:tr>
    </w:tbl>
    <w:p>
      <w:pPr>
        <w:pBdr/>
        <w:spacing/>
        <w:ind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21"/>
        <w:gridCol w:w="1064"/>
        <w:gridCol w:w="1240"/>
        <w:gridCol w:w="4014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0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28</w:t>
            </w:r>
            <w:r>
              <w:rPr>
                <w:b/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Резервуар дизпалива РВС-1000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Сірководень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9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0,00000024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8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Бензол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9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0,00000013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8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Для</w:t>
            </w:r>
            <w:r>
              <w:rPr>
                <w:lang w:eastAsia="ru-RU"/>
              </w:rPr>
              <w:t xml:space="preserve"> речовини </w:t>
            </w:r>
            <w:r>
              <w:rPr>
                <w:lang w:val="ru-RU"/>
              </w:rPr>
              <w:t xml:space="preserve">Вуглеводні насичені C</w:t>
            </w:r>
            <w:r>
              <w:rPr>
                <w:vertAlign w:val="subscript"/>
                <w:lang w:val="ru-RU"/>
              </w:rPr>
              <w:t xml:space="preserve">12</w:t>
            </w:r>
            <w:r>
              <w:rPr>
                <w:lang w:val="ru-RU"/>
              </w:rPr>
              <w:t xml:space="preserve"> - C</w:t>
            </w:r>
            <w:r>
              <w:rPr>
                <w:vertAlign w:val="subscript"/>
                <w:lang w:val="ru-RU"/>
              </w:rPr>
              <w:t xml:space="preserve">19</w:t>
            </w:r>
            <w:r>
              <w:rPr>
                <w:lang w:val="ru-RU"/>
              </w:rPr>
              <w:t xml:space="preserve"> (розчинник РПК-26511 та ін.) у перерахунку на сумарний органічний вуглець  </w:t>
            </w:r>
            <w:r>
              <w:rPr>
                <w:lang w:eastAsia="ru-RU"/>
              </w:rPr>
              <w:t xml:space="preserve">гранично допустимі викиди не встановлено, </w:t>
            </w:r>
            <w:r>
              <w:rPr>
                <w:lang w:eastAsia="uk-UA"/>
              </w:rPr>
              <w:t xml:space="preserve">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      </w:r>
            <w:r>
              <w:rPr>
                <w:color w:val="000000"/>
                <w:lang w:val="ru-RU"/>
              </w:rPr>
            </w:r>
          </w:p>
        </w:tc>
      </w:tr>
    </w:tbl>
    <w:p>
      <w:pPr>
        <w:pBdr/>
        <w:spacing/>
        <w:ind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2168"/>
        <w:gridCol w:w="4286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46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 хімреагентів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47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 хімреагентів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48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 хімреагентів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49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 хімреагентів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51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 хімреагентів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52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 хімреагентів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78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53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 хімреагентів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3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12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</w:t>
            </w:r>
            <w:r>
              <w:rPr>
                <w:lang w:eastAsia="ru-RU"/>
              </w:rPr>
              <w:t xml:space="preserve"> речовини </w:t>
            </w:r>
            <w:r>
              <w:t xml:space="preserve">Інгібітор корозії «Нефтехим-1» (талове масло-32%, гас-20%, поліетиленполіаміди-8%, стабільний каталізатор - 10%) </w:t>
            </w:r>
            <w:r>
              <w:rPr>
                <w:lang w:eastAsia="ru-RU"/>
              </w:rPr>
              <w:t xml:space="preserve">гранично допустимі викиди не встановлено, </w:t>
            </w:r>
            <w:r>
              <w:rPr>
                <w:lang w:eastAsia="uk-UA"/>
              </w:rPr>
              <w:t xml:space="preserve">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      </w:r>
            <w:r>
              <w:rPr>
                <w:color w:val="000000"/>
              </w:rPr>
            </w:r>
          </w:p>
        </w:tc>
      </w:tr>
    </w:tbl>
    <w:p>
      <w:pPr>
        <w:pBdr/>
        <w:spacing/>
        <w:ind w:firstLine="720"/>
        <w:jc w:val="both"/>
        <w:rPr>
          <w:bCs/>
          <w:color w:val="2e74b5" w:themeColor="accent1" w:themeShade="BF"/>
        </w:rPr>
      </w:pPr>
      <w:r>
        <w:rPr>
          <w:bCs/>
          <w:color w:val="2e74b5" w:themeColor="accent1" w:themeShade="BF"/>
        </w:rPr>
      </w:r>
      <w:r>
        <w:rPr>
          <w:bCs/>
          <w:color w:val="2e74b5" w:themeColor="accent1" w:themeShade="BF"/>
        </w:rPr>
      </w:r>
    </w:p>
    <w:p>
      <w:pPr>
        <w:pBdr/>
        <w:spacing/>
        <w:ind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  <w:r>
        <w:rPr>
          <w:sz w:val="28"/>
          <w:szCs w:val="28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21"/>
        <w:gridCol w:w="1064"/>
        <w:gridCol w:w="1240"/>
        <w:gridCol w:w="4014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0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Номери джерел викидів: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62</w:t>
            </w:r>
            <w:r>
              <w:rPr>
                <w:b/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дизпалива № 8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40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63</w:t>
            </w:r>
            <w:r>
              <w:rPr>
                <w:b/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Дихальний клапан. Ємність дизпалива № 9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(г/сек):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Сірководень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9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0,0000003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8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Бензол</w:t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9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0,0000002</w:t>
            </w:r>
            <w:r>
              <w:rPr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8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t xml:space="preserve">- з дати отримання дозволу</w:t>
            </w:r>
            <w:r>
              <w:rPr>
                <w:lang w:val="ru-RU"/>
              </w:rPr>
            </w:r>
          </w:p>
        </w:tc>
      </w:tr>
      <w:tr>
        <w:trPr>
          <w:trHeight w:val="690"/>
        </w:trPr>
        <w:tc>
          <w:tcPr>
            <w:gridSpan w:val="5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240"/>
              <w:ind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Для</w:t>
            </w:r>
            <w:r>
              <w:rPr>
                <w:lang w:eastAsia="ru-RU"/>
              </w:rPr>
              <w:t xml:space="preserve"> речовини </w:t>
            </w:r>
            <w:r>
              <w:rPr>
                <w:lang w:val="ru-RU"/>
              </w:rPr>
              <w:t xml:space="preserve">Вуглеводні насичені C</w:t>
            </w:r>
            <w:r>
              <w:rPr>
                <w:vertAlign w:val="subscript"/>
                <w:lang w:val="ru-RU"/>
              </w:rPr>
              <w:t xml:space="preserve">12</w:t>
            </w:r>
            <w:r>
              <w:rPr>
                <w:lang w:val="ru-RU"/>
              </w:rPr>
              <w:t xml:space="preserve"> - C</w:t>
            </w:r>
            <w:r>
              <w:rPr>
                <w:vertAlign w:val="subscript"/>
                <w:lang w:val="ru-RU"/>
              </w:rPr>
              <w:t xml:space="preserve">19</w:t>
            </w:r>
            <w:r>
              <w:rPr>
                <w:lang w:val="ru-RU"/>
              </w:rPr>
              <w:t xml:space="preserve"> (розчинник РПК-26511 та ін.) у перерахунку на сумарний органічний вуглець  </w:t>
            </w:r>
            <w:r>
              <w:rPr>
                <w:lang w:eastAsia="ru-RU"/>
              </w:rPr>
              <w:t xml:space="preserve">гранично допустимі викиди не встановлено, </w:t>
            </w:r>
            <w:r>
              <w:rPr>
                <w:lang w:eastAsia="uk-UA"/>
              </w:rPr>
              <w:t xml:space="preserve">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      </w:r>
            <w:r>
              <w:rPr>
                <w:color w:val="000000"/>
                <w:lang w:val="ru-RU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неорганізованих стаціонарних джерел викидів (№№ 9, 10, 25, 29, 30</w:t>
      </w:r>
      <w:r>
        <w:rPr>
          <w:sz w:val="28"/>
          <w:szCs w:val="28"/>
          <w:lang w:eastAsia="ru-RU"/>
        </w:rPr>
        <w:t xml:space="preserve">, 31, 32, 33, 34, 35, 36, 50, 54, 55, 64, 65, 66, 67, 68, 69) нормативи гранично-допустимих викидів забруднюючих речовин не надаються, так як для них нормативи ГДВ не встановлюються. Нормування викидів від цих джерел здійснюється шляхом встановлення вимог.</w:t>
      </w:r>
      <w:r>
        <w:rPr>
          <w:sz w:val="28"/>
          <w:szCs w:val="28"/>
          <w:lang w:eastAsia="ru-RU"/>
        </w:rPr>
      </w:r>
    </w:p>
    <w:p>
      <w:pPr>
        <w:pBdr/>
        <w:spacing w:after="120" w:before="24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Умови, які встановлюються в дозволі на викиди</w:t>
      </w:r>
      <w:r>
        <w:rPr>
          <w:b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 До викидів забруднюючих речовин (в тому числі, до технологічного процесу, обладнання та споруд, очистки газопилового потоку)</w:t>
      </w:r>
      <w:r>
        <w:rPr>
          <w:b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Викиди забруднюючих речовин із стаціонарних джерел підприємства, які не підлягають регулюванню та за якими не здійснюється державний облік, не повинні призводити до перевищення гігієнічних нормативів на межі санітарно-захисної зони.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Статистичні звіти про викиди в атмосферне повітря повинні надаватися відповідно до законодавства. Наведена в таких звітах інформація повинна готуватися у відповідності з інструкціями з даного питання.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При проведенні реконструкції, модернізації, введенні нових потужностей виробництва підприємство повинно керуватись чинним природоохоронним законодавством України.</w:t>
      </w:r>
      <w:r>
        <w:rPr>
          <w:sz w:val="28"/>
          <w:szCs w:val="28"/>
          <w:lang w:eastAsia="ru-RU"/>
        </w:rPr>
      </w:r>
    </w:p>
    <w:p>
      <w:pPr>
        <w:pStyle w:val="1184"/>
        <w:pBdr/>
        <w:shd w:val="clear" w:color="auto" w:fill="ffffff"/>
        <w:spacing w:after="120" w:afterAutospacing="0" w:before="120" w:beforeAutospacing="0"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До технологічного процесу </w:t>
      </w:r>
      <w:r>
        <w:rPr>
          <w:b/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1.4.1. Оператор повинен забезпечити, щоб всі роботи на об'єкті робились таким чином, щоб викиди в атмосферу та/або запах не призводили до суттєвих незручностей за межами об'єкту або до суттєвого впливу на навколишнє середовище.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1.4.2. Сировина та матеріали, що викор</w:t>
      </w:r>
      <w:r>
        <w:rPr>
          <w:sz w:val="28"/>
          <w:szCs w:val="28"/>
          <w:lang w:eastAsia="ru-RU"/>
        </w:rPr>
        <w:t xml:space="preserve">истовується на підприємстві, повинні відповідати технічним умовам, державним стандартам, санітарним нормам та регламентам технологічних процесів. Використовувати тільки сировину, паливо і матеріали, що закладені технологічними інструкціями та регламентами.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1.4.3. Дотримуватись витрат матеріалів та енергоресурсів на кожному етапі технологічного процесу та процесів взагалі.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1.4.4. Технологія виробництва повинна передбачати використання: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1.4.4.а) Максимально можливої ізоляції та герметизації обладнання, що пов'язане з виділенням у повітряне середовище парів шкідливих речовин.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1.4.4.б) Запобігання забрудненню атмосферного повітря за межами санітарно-захисної зони понад встановлених нормативів ГДК.</w:t>
      </w:r>
      <w:r>
        <w:rPr>
          <w:sz w:val="28"/>
          <w:szCs w:val="28"/>
          <w:lang w:eastAsia="ru-RU"/>
        </w:rPr>
      </w:r>
    </w:p>
    <w:p>
      <w:pPr>
        <w:pStyle w:val="1184"/>
        <w:pBdr/>
        <w:shd w:val="clear" w:color="auto" w:fill="ffffff"/>
        <w:spacing w:after="120" w:afterAutospacing="0" w:before="120" w:beforeAutospacing="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1.4.4.в) Додержання граничнодопустимого рівня дії шкідливих виробничих факторів.</w:t>
      </w:r>
      <w:r>
        <w:rPr>
          <w:sz w:val="28"/>
          <w:szCs w:val="28"/>
          <w:lang w:eastAsia="ru-RU"/>
        </w:rPr>
      </w:r>
    </w:p>
    <w:p>
      <w:pPr>
        <w:pStyle w:val="1184"/>
        <w:pBdr/>
        <w:shd w:val="clear" w:color="auto" w:fill="ffffff"/>
        <w:spacing w:after="120" w:afterAutospacing="0" w:before="120" w:beforeAutospacing="0"/>
        <w: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До дозволених обсягів викидів, що відводяться від окремих типів обладнання, залпових викидів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184"/>
        <w:pBdr/>
        <w:shd w:val="clear" w:color="auto" w:fill="ffffff"/>
        <w:spacing w:after="120" w:afterAutospacing="0" w:before="120" w:beforeAutospacing="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1.5.1. До дозволених обсягів викидів, що відводяться від окремих типів обладнання , умови не встановлюються.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9.3</w:t>
      </w:r>
      <w:r>
        <w:rPr>
          <w:sz w:val="28"/>
          <w:szCs w:val="28"/>
        </w:rPr>
        <w:t xml:space="preserve"> – Пропозиції щодо дозволених обсягів викидів, що відводяться від окремих типів обладнання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46"/>
        <w:gridCol w:w="791"/>
        <w:gridCol w:w="503"/>
        <w:gridCol w:w="1498"/>
        <w:gridCol w:w="1234"/>
        <w:gridCol w:w="1084"/>
        <w:gridCol w:w="859"/>
        <w:gridCol w:w="1093"/>
        <w:gridCol w:w="1221"/>
      </w:tblGrid>
      <w:tr>
        <w:trPr/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Джерело утворення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Забруднююча речовина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9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Макси-мальна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масова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концен-трація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забрудню-ючої речовини,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мг/м3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Технологічний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норматив допус-тимих викидів відповідно до законодавства,мг/м3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Затвер-джений гранично допус-тимий викид,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мг/м3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Строк досягнення затвер-дженого значення гранично допустимого викиду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253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наймену-вання, марка, вид палива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номер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код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наймену-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вання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поточ-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ний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перспек-тивний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9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</w:tbl>
    <w:p>
      <w:pPr>
        <w:pBdr/>
        <w:spacing w:after="120" w:before="12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промисловому майданчику відсутні викиди, які відводяться від окремих типів обладнання і на які встановлений технологічний норматив допустимих викидів відповідно до законодавства, тому таблиця 9.3 не заповнена.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1.5.2. До залпових викидів (джерела №№ 3, 4). Дозволений обсяг залпових викидів не повинен перевищувати трьохкратне значення граничнодопустимого викиду відповідно до законодавства. Дозволені обсяги залпових викидів наведені в таблиці 9.5.</w:t>
      </w:r>
      <w:r>
        <w:rPr>
          <w:color w:val="000000"/>
          <w:sz w:val="28"/>
          <w:szCs w:val="28"/>
          <w:lang w:eastAsia="ru-RU"/>
        </w:rPr>
      </w:r>
    </w:p>
    <w:p>
      <w:pPr>
        <w:pBdr/>
        <w:spacing w:after="120" w:before="120"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9.5  </w:t>
      </w:r>
      <w:r>
        <w:rPr>
          <w:sz w:val="28"/>
          <w:szCs w:val="28"/>
        </w:rPr>
        <w:t xml:space="preserve">– Дозволені обсяги залпових викидів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"/>
        <w:gridCol w:w="861"/>
        <w:gridCol w:w="1032"/>
        <w:gridCol w:w="901"/>
        <w:gridCol w:w="1259"/>
        <w:gridCol w:w="1369"/>
        <w:gridCol w:w="1028"/>
        <w:gridCol w:w="1190"/>
        <w:gridCol w:w="1032"/>
      </w:tblGrid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джерела викиду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Забруднююча речовина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00" w:lineRule="exact"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Макси-мальна масова концен-трація, мг/м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Потужність викиду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Періо-дичність, </w:t>
            </w:r>
            <w:r>
              <w:rPr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раз/ рік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Тривалість викиду, хвилин, годин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00" w:lineRule="exact"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Річна величина залпових викидів, т/рік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наймену-вання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г/с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кг/год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1,551946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5,587006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0,018343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0,066035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0,02318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0,083448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0,164416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0,591898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0,248311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0,89392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Бутан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0,002935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0,010566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0,00002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Пропан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0,003709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0,013352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0,00003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Етан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0,026306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0,094702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0,0002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  <w:lang w:eastAsia="uk-UA"/>
        </w:rPr>
      </w:r>
    </w:p>
    <w:p>
      <w:pPr>
        <w:pStyle w:val="1184"/>
        <w:pBdr/>
        <w:shd w:val="clear" w:color="auto" w:fill="ffffff"/>
        <w:spacing w:after="120" w:afterAutospacing="0" w:before="120" w:beforeAutospacing="0"/>
        <w:ind/>
        <w:rPr>
          <w:sz w:val="28"/>
          <w:szCs w:val="28"/>
        </w:rPr>
      </w:pPr>
      <w:r>
        <w:rPr>
          <w:b/>
          <w:sz w:val="28"/>
          <w:szCs w:val="28"/>
        </w:rPr>
        <w:t xml:space="preserve">1.6. До обладнання та 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 w:after="120" w:before="120"/>
        <w:ind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1.6.1. Технологічне устаткування не повинно працювати у форсованому режимі.</w:t>
      </w:r>
      <w:r>
        <w:rPr>
          <w:color w:val="000000"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1.6.2. Зовнішня поверхня резервуарів, яка розташована над землею, повинна фарбуватися світловідбивальною фарбою з коефіцієнтом теплового відбивання не менше 70 %.</w:t>
      </w:r>
      <w:r>
        <w:rPr>
          <w:color w:val="000000"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1.6.3.  При експлуатації насосного обладнання повинний бути встановлений нагляд за герметичністю насосів, трубопроводів, арматури.</w:t>
      </w:r>
      <w:r>
        <w:rPr>
          <w:color w:val="000000"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1.6.4. Зварювальне устаткування повинне мати відповідний ступінь захисту залежно від умов навколишнього середовища. Конструкція і розміщення цього обладнання, огорож і блокування повинні забезпечувати неможливість його пошкодження.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1.6.5. Електроди, які використовуються при зварюванні, повинні бути заводського виготовлення і відповідати номінальній величині зварювального струму. Покриття електродів повинне бути однорідним, щільним, без здуття, напливів і тріщин.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1.6.6. Тара, у якій знаходяться лакофарбові матеріали</w:t>
      </w:r>
      <w:r>
        <w:rPr>
          <w:sz w:val="28"/>
          <w:szCs w:val="28"/>
          <w:lang w:eastAsia="ru-RU"/>
        </w:rPr>
        <w:t xml:space="preserve">, повинна бути справною, щільно закривається і міцною. При використанні фарб слід користуватися їхньою мінімальною кількістю, необхідною для виконання разового завдання і не перевищувала змінної потреби. Забороняється залишати тару з розчинником відкритою.</w:t>
      </w:r>
      <w:r>
        <w:rPr>
          <w:sz w:val="28"/>
          <w:szCs w:val="28"/>
          <w:lang w:eastAsia="ru-RU"/>
        </w:rPr>
      </w:r>
    </w:p>
    <w:p>
      <w:pPr>
        <w:pStyle w:val="1184"/>
        <w:pBdr/>
        <w:shd w:val="clear" w:color="auto" w:fill="ffffff"/>
        <w:spacing w:after="120" w:afterAutospacing="0" w:before="120" w:beforeAutospacing="0"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1.7. До очистки газопилового потоку </w:t>
      </w:r>
      <w:r>
        <w:rPr>
          <w:b/>
          <w:sz w:val="28"/>
          <w:szCs w:val="28"/>
        </w:rPr>
      </w:r>
    </w:p>
    <w:p>
      <w:pPr>
        <w:pBdr/>
        <w:spacing w:after="120" w:before="120"/>
        <w:ind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 xml:space="preserve">1.7.1. Забороняється експлуатація технологічного обладнання на стаціонарному джерелу № 13, 14 без використання установки очистки газу (далі - ГОУ). </w:t>
      </w:r>
      <w:r>
        <w:rPr>
          <w:rFonts w:ascii="IBM Plex Serif" w:hAnsi="IBM Plex Serif"/>
          <w:spacing w:val="-8"/>
          <w:sz w:val="28"/>
          <w:szCs w:val="28"/>
          <w:shd w:val="clear" w:color="auto" w:fill="ffffff"/>
        </w:rPr>
        <w:t xml:space="preserve">Ефективність роботи установки очистки газу: </w:t>
      </w:r>
      <w:r>
        <w:rPr>
          <w:spacing w:val="-8"/>
          <w:sz w:val="28"/>
          <w:szCs w:val="28"/>
          <w:lang w:eastAsia="ru-RU"/>
        </w:rPr>
        <w:t xml:space="preserve">джерело № 13 – </w:t>
      </w:r>
      <w:r>
        <w:rPr>
          <w:spacing w:val="-8"/>
          <w:sz w:val="28"/>
          <w:szCs w:val="28"/>
        </w:rPr>
        <w:t xml:space="preserve">83,0 </w:t>
      </w:r>
      <w:r>
        <w:rPr>
          <w:rFonts w:ascii="IBM Plex Serif" w:hAnsi="IBM Plex Serif"/>
          <w:spacing w:val="-8"/>
          <w:sz w:val="28"/>
          <w:szCs w:val="28"/>
          <w:shd w:val="clear" w:color="auto" w:fill="ffffff"/>
        </w:rPr>
        <w:t xml:space="preserve">% </w:t>
      </w:r>
      <w:r>
        <w:rPr>
          <w:spacing w:val="-8"/>
          <w:sz w:val="28"/>
          <w:szCs w:val="28"/>
        </w:rPr>
        <w:t xml:space="preserve">/80,03 </w:t>
      </w:r>
      <w:r>
        <w:rPr>
          <w:rFonts w:ascii="IBM Plex Serif" w:hAnsi="IBM Plex Serif"/>
          <w:spacing w:val="-8"/>
          <w:sz w:val="28"/>
          <w:szCs w:val="28"/>
          <w:shd w:val="clear" w:color="auto" w:fill="ffffff"/>
        </w:rPr>
        <w:t xml:space="preserve">% ; </w:t>
      </w:r>
      <w:r>
        <w:rPr>
          <w:spacing w:val="-8"/>
          <w:sz w:val="28"/>
          <w:szCs w:val="28"/>
          <w:lang w:eastAsia="ru-RU"/>
        </w:rPr>
        <w:t xml:space="preserve">джерело № 14 – </w:t>
      </w:r>
      <w:r>
        <w:rPr>
          <w:spacing w:val="-8"/>
          <w:sz w:val="28"/>
          <w:szCs w:val="28"/>
        </w:rPr>
        <w:t xml:space="preserve">98,9</w:t>
      </w:r>
      <w:r>
        <w:rPr>
          <w:rFonts w:ascii="IBM Plex Serif" w:hAnsi="IBM Plex Serif"/>
          <w:spacing w:val="-8"/>
          <w:sz w:val="28"/>
          <w:szCs w:val="28"/>
          <w:shd w:val="clear" w:color="auto" w:fill="ffffff"/>
        </w:rPr>
        <w:t xml:space="preserve">% </w:t>
      </w:r>
      <w:r>
        <w:rPr>
          <w:spacing w:val="-8"/>
          <w:sz w:val="28"/>
          <w:szCs w:val="28"/>
        </w:rPr>
        <w:t xml:space="preserve">/98,51 </w:t>
      </w:r>
      <w:r>
        <w:rPr>
          <w:rFonts w:ascii="IBM Plex Serif" w:hAnsi="IBM Plex Serif"/>
          <w:spacing w:val="-8"/>
          <w:sz w:val="28"/>
          <w:szCs w:val="28"/>
          <w:shd w:val="clear" w:color="auto" w:fill="ffffff"/>
        </w:rPr>
        <w:t xml:space="preserve">% (через дріб зазначається фактична / дані Паспорта ГОУ).</w:t>
      </w:r>
      <w:r>
        <w:rPr>
          <w:spacing w:val="-8"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1.7.2. Експлуатація ГОУ має здійснюватись згідно з затвердженими Правилами технічної експлуатації установок очистки газу.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1.7.3. Вчасно проводити технічні огляди та планові ремонти ГОУ.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1.7.4. Підтримувати в герметичному стані трубопроводи, які ведуть від джерел утворення викиду до ГОУ.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1.7.5. Не допускати експлуатацію технологічного устаткування при несправній або відключеній ГОУ.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1.7.6. Контролювати фактичні показники ГОУ.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1.7.7. Своєчас</w:t>
      </w:r>
      <w:r>
        <w:rPr>
          <w:sz w:val="28"/>
          <w:szCs w:val="28"/>
          <w:lang w:eastAsia="ru-RU"/>
        </w:rPr>
        <w:t xml:space="preserve">но проводити очистку бункеру від пилу, не допускаючи його повного заповнення. Адміністрація підприємства зобов'язана забезпечити перевірку ефективності роботи газопилоуловлюючих установок після кожного капітального ремонту, але не рідше одного разу на рік.</w:t>
      </w:r>
      <w:r>
        <w:rPr>
          <w:sz w:val="28"/>
          <w:szCs w:val="28"/>
          <w:lang w:eastAsia="ru-RU"/>
        </w:rPr>
      </w:r>
    </w:p>
    <w:p>
      <w:pPr>
        <w:pBdr/>
        <w:spacing/>
        <w:ind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1184"/>
        <w:pBdr/>
        <w:shd w:val="clear" w:color="auto" w:fill="ffffff"/>
        <w:spacing w:after="120" w:afterAutospacing="0" w:before="120" w:beforeAutospacing="0"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До виробничого контролю </w:t>
      </w:r>
      <w:r>
        <w:rPr>
          <w:b/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Необхідно здійснювати контроль за роботою контрольно-вимірювальних приладів автоматичних систем управління технологічними процесами.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2.2. Під час роботи технологічного обладнання необхідно здійснювати нагляд за дотриманням належного рівня його експлуатації, систематично проводити </w:t>
      </w:r>
      <w:r>
        <w:rPr>
          <w:sz w:val="28"/>
          <w:szCs w:val="28"/>
        </w:rPr>
        <w:t xml:space="preserve">контроль технічного стану всього технологічного обладнання та устаткування.</w:t>
      </w:r>
      <w:r>
        <w:rPr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Гранично допустимі концентрації для </w:t>
      </w:r>
      <w:r>
        <w:rPr>
          <w:sz w:val="28"/>
          <w:szCs w:val="28"/>
        </w:rPr>
        <w:t xml:space="preserve">викидів в атмосферу, встановлені в Дозволі, повинні досягатися без розбавлення повітрям та повинні грунтуватися на величинах обсягу газів, залежно від технологічного обладнання призведених до таких умов: відхідні гази паливовикористовувального обладнання –</w:t>
      </w:r>
      <w:r>
        <w:rPr>
          <w:sz w:val="28"/>
          <w:szCs w:val="28"/>
        </w:rPr>
        <w:t xml:space="preserve"> до стандартних умов (температура 273К, тиск 101,3 кПа, 3% кисню (газоподібне паливо), 6% кисню (тверде паливо), 15% кисню (газові турбіни та дизельні двигуни), для іншого технологічного устаткування – до нормальних умов (температура 273К, тиск 101,3 кПа).</w:t>
      </w:r>
      <w:r>
        <w:rPr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Суб’єкт господарювання повинен забезпечувати постійний та безпечний доступ к точкам відбору проб для контролю викидів в атмосферне повітря, а також безпечний доступ до будь-яких інших точок пробовідбору та моніторингу, відповідно до </w:t>
      </w:r>
      <w:r>
        <w:rPr>
          <w:sz w:val="28"/>
          <w:szCs w:val="28"/>
          <w:lang w:eastAsia="ru-RU"/>
        </w:rPr>
        <w:t xml:space="preserve">ДСТУ 8812:2018 Якість повітря. Викиди стаціонарних джерел. Настанови з відбирання проб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Суб’єкт господарювання повинен забезпечити проведення контролю за якістю атмосферного повітря на межі санітарно-захисної зони та на межі житлової забудови компетентними лабораторіями.</w:t>
      </w:r>
      <w:r>
        <w:rPr>
          <w:sz w:val="28"/>
          <w:szCs w:val="28"/>
        </w:rPr>
      </w:r>
    </w:p>
    <w:p>
      <w:pPr>
        <w:pStyle w:val="1184"/>
        <w:pBdr/>
        <w:shd w:val="clear" w:color="auto" w:fill="ffffff"/>
        <w:spacing w:after="120" w:afterAutospacing="0" w:before="120" w:beforeAutospacing="0"/>
        <w: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До переліку заходів щодо здійснення контролю за дотриманням встановлених технологічних нормативів викидів, що відводяться від окремого типу обладнання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Умови не встановлюються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Таблиця 9.4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 xml:space="preserve">Перелік заходів щодо здійснення контролю за дотриманням встановлених технологічних нормативів викидів, що відводяться від окремого типу обладнання</w:t>
      </w:r>
      <w:r>
        <w:rPr>
          <w:sz w:val="28"/>
          <w:szCs w:val="28"/>
          <w:shd w:val="clear" w:color="auto" w:fill="ffffff"/>
        </w:rPr>
      </w:r>
    </w:p>
    <w:tbl>
      <w:tblPr>
        <w:tblW w:w="9632" w:type="dxa"/>
        <w:tblInd w:w="-5" w:type="dxa"/>
        <w:tblBorders/>
        <w:tblLook w:val="04A0" w:firstRow="1" w:lastRow="0" w:firstColumn="1" w:lastColumn="0" w:noHBand="0" w:noVBand="1"/>
      </w:tblPr>
      <w:tblGrid>
        <w:gridCol w:w="965"/>
        <w:gridCol w:w="1503"/>
        <w:gridCol w:w="753"/>
        <w:gridCol w:w="1440"/>
        <w:gridCol w:w="1459"/>
        <w:gridCol w:w="1421"/>
        <w:gridCol w:w="1225"/>
        <w:gridCol w:w="866"/>
      </w:tblGrid>
      <w:tr>
        <w:trPr>
          <w:trHeight w:val="25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Номер джерела викиду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Джерело утворення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Назва забруднюючої речовини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Затверджений гранично допустимий викид, мг/м3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Періодичність вимірювання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Методика виконання вимірювань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Місце відбору проб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найменування, марка, вид палива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номер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8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Bdr/>
        <w:spacing w:after="120" w:before="12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промисловому майданчику відсутні викиди, які відводяться від окремих типів обладнання, </w:t>
      </w:r>
      <w:r>
        <w:rPr>
          <w:sz w:val="28"/>
          <w:szCs w:val="28"/>
        </w:rPr>
        <w:t xml:space="preserve">для яких </w:t>
      </w:r>
      <w:r>
        <w:rPr>
          <w:sz w:val="28"/>
          <w:szCs w:val="28"/>
          <w:shd w:val="clear" w:color="auto" w:fill="ffffff"/>
        </w:rPr>
        <w:t xml:space="preserve">встановлені технологічні нормативи допустимих викидів відповідно до законодавства,</w:t>
      </w:r>
      <w:r>
        <w:rPr>
          <w:sz w:val="28"/>
          <w:szCs w:val="28"/>
          <w:lang w:eastAsia="ru-RU"/>
        </w:rPr>
        <w:t xml:space="preserve"> тому таблиця 9.4 не заповнена.</w:t>
      </w:r>
      <w:r>
        <w:rPr>
          <w:sz w:val="28"/>
          <w:szCs w:val="28"/>
          <w:lang w:eastAsia="ru-RU"/>
        </w:rPr>
      </w:r>
    </w:p>
    <w:p>
      <w:pPr>
        <w:pBdr/>
        <w:spacing/>
        <w:ind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  <w:lang w:eastAsia="uk-UA"/>
        </w:rPr>
      </w:r>
    </w:p>
    <w:p>
      <w:pPr>
        <w:pStyle w:val="1184"/>
        <w:pBdr/>
        <w:shd w:val="clear" w:color="auto" w:fill="ffffff"/>
        <w:spacing w:after="120" w:afterAutospacing="0" w:before="120" w:beforeAutospacing="0"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До адміністративних дій у разі виникнення надзвичайних ситуацій техногенного та природного характеру </w:t>
      </w:r>
      <w:r>
        <w:rPr>
          <w:b/>
          <w:sz w:val="28"/>
          <w:szCs w:val="28"/>
        </w:rPr>
      </w:r>
    </w:p>
    <w:p>
      <w:pPr>
        <w:pBdr/>
        <w:spacing w:after="120" w:before="120"/>
        <w:ind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Суб'єкт господарювання (оператор) повинен направляти повідомлення, як по телефону, так і по факсу до </w:t>
      </w:r>
      <w:r>
        <w:rPr>
          <w:bCs/>
          <w:sz w:val="28"/>
          <w:szCs w:val="28"/>
          <w:lang w:eastAsia="ru-RU"/>
        </w:rPr>
        <w:t xml:space="preserve">Департаменту екології та природних ресурсів Чернігівської обласної державної адміністрації </w:t>
      </w:r>
      <w:r>
        <w:rPr>
          <w:sz w:val="28"/>
          <w:szCs w:val="28"/>
          <w:lang w:eastAsia="ru-RU"/>
        </w:rPr>
        <w:t xml:space="preserve">як можливо скоріше (наскільки це практично м</w:t>
      </w:r>
      <w:r>
        <w:rPr>
          <w:bCs/>
          <w:sz w:val="28"/>
          <w:szCs w:val="28"/>
          <w:lang w:eastAsia="ru-RU"/>
        </w:rPr>
        <w:t xml:space="preserve">ожливо), після того як відбувається щось з наступного:</w:t>
      </w:r>
      <w:r>
        <w:rPr>
          <w:bCs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4.1.а) будь-який викид, який не відповідний вимогам Дозволу;</w:t>
      </w:r>
      <w:r>
        <w:rPr>
          <w:bCs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4.1.б) будь-яка аварія, що може створити загрозу забруднення повітря або може потребувати екстрених заходів реаг</w:t>
      </w:r>
      <w:r>
        <w:rPr>
          <w:bCs/>
          <w:sz w:val="28"/>
          <w:szCs w:val="28"/>
          <w:lang w:eastAsia="ru-RU"/>
        </w:rPr>
        <w:t xml:space="preserve">ування. У якості складової частини повідомлення, суб'єкт господарювання повинен вказати дату і час такої аварії, привести детальну інформацію про те, що сталося, та заходи, прийняті для мінімізації викидів та для попередження подібних аварій в майбутньому.</w:t>
      </w:r>
      <w:r>
        <w:rPr>
          <w:bCs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Оператор повинен документально фіксувати будь-які аварії, вказані в пункті вище даної умови. В повідомленні, яке надається </w:t>
      </w:r>
      <w:r>
        <w:rPr>
          <w:bCs/>
          <w:sz w:val="28"/>
          <w:szCs w:val="28"/>
          <w:lang w:eastAsia="ru-RU"/>
        </w:rPr>
        <w:t xml:space="preserve">Департаменту екології та природних ресурсів Чернігівської обласної державної адміністрації</w:t>
      </w:r>
      <w:r>
        <w:rPr>
          <w:color w:val="ff0000"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повинна наводитись докладна інформація про обставини, які призвели до аварії та про всі прийняті дії мінімізації впливу на навколишнє середовище та для мінімізації обсягу утворення відходів.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Звіт за довільною формою про зафіксовані аварії повинен надаватися </w:t>
      </w:r>
      <w:r>
        <w:rPr>
          <w:bCs/>
          <w:sz w:val="28"/>
          <w:szCs w:val="28"/>
          <w:lang w:eastAsia="ru-RU"/>
        </w:rPr>
        <w:t xml:space="preserve">Департаменту екології та природних ресурсів Чернігівської обласної державної адміністрації </w:t>
      </w:r>
      <w:r>
        <w:rPr>
          <w:sz w:val="28"/>
          <w:szCs w:val="28"/>
          <w:lang w:eastAsia="ru-RU"/>
        </w:rPr>
        <w:t xml:space="preserve">як складова частина екологічного звіту за рік. Наведена у такому звіті інформація, повинна готуватися у відповідності </w:t>
      </w:r>
      <w:r>
        <w:rPr>
          <w:color w:val="000000"/>
          <w:sz w:val="28"/>
          <w:szCs w:val="28"/>
        </w:rPr>
        <w:t xml:space="preserve">з інструкціями, затвердженими Державною службою України з надзвичайних ситуацій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Оператор повинен ввести в дію та підтримати в дії Систему управління охороною. навколишнім природним середовищем, як</w:t>
      </w:r>
      <w:r>
        <w:rPr>
          <w:sz w:val="28"/>
          <w:szCs w:val="28"/>
          <w:lang w:eastAsia="ru-RU"/>
        </w:rPr>
        <w:t xml:space="preserve">а відповідає потребам даного Дозволу.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технологій, більш чистих виробничих процесів та для мінімізації викидів.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Інформування та підготовка персоналу. Оператор повинен ввести в дію і підтримувати в дії процедури для визначення необхідних сфер підготовки персоналу для всіх співробітників, робота яких може здійснити суттєвий вплив</w:t>
      </w:r>
      <w:r>
        <w:rPr>
          <w:sz w:val="28"/>
          <w:szCs w:val="28"/>
          <w:lang w:eastAsia="ru-RU"/>
        </w:rPr>
        <w:t xml:space="preserve"> на. забруднення атмосферного повітря. Повинна підтримуватися відповідна документація про підготовку персоналу. Персонал, який виконує спеціальні завдання, повинен володіти необхідною кваліфікацією (необхідною освітою, підготовкою та /або досвідом роботи).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 Обов'язки. Оператор повинен забезпечити, щоб відповідальна особа Держекоінспекції мала доступ на об'єкт в будь-який час, коли відбувається вказана діяльність.</w:t>
      </w:r>
      <w:r>
        <w:rPr>
          <w:rFonts w:eastAsia="Calibri"/>
          <w:sz w:val="28"/>
          <w:szCs w:val="28"/>
        </w:rPr>
      </w:r>
    </w:p>
    <w:p>
      <w:pPr>
        <w:pBdr/>
        <w:spacing w:after="120" w:before="120"/>
        <w:ind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 До неорганізованих джерел викидів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</w:p>
    <w:p>
      <w:pPr>
        <w:pBdr/>
        <w:spacing w:after="120" w:before="120"/>
        <w: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До джерела № 9 (зварювальний пост) та № 10 (пост газової різки).  Для постів зварювання та газового різання необхідно вибирати оптимальний режим зварювання, що відповідає якості металів, які зварюються, та маркам </w:t>
      </w:r>
      <w:r>
        <w:rPr>
          <w:rFonts w:eastAsia="Calibri"/>
          <w:sz w:val="28"/>
          <w:szCs w:val="28"/>
        </w:rPr>
        <w:t xml:space="preserve">зварювальних матеріалів. Зварювальні установки повинні відповідати вимогам ДСТУ 2456-94 «Зварювання дугове і електрошлакове. Вимоги безпеки», ДНАОП 0.00-1.21-98 (підрозділ «Вимоги до глектрозварювальних робі</w:t>
      </w:r>
      <w:r>
        <w:rPr>
          <w:rFonts w:eastAsia="Calibri"/>
          <w:sz w:val="28"/>
          <w:szCs w:val="28"/>
        </w:rPr>
        <w:t xml:space="preserve">т і устаткування»). Зварювальне устаткування повинне мати відповідний ступінь захисту залежно від умов навколишнього середовища. Конструкція і розміщення цього обладнання, огорож і блокування повинні забезпечувати неможливість його механічного пошкодження.</w:t>
      </w:r>
      <w:r>
        <w:rPr>
          <w:rFonts w:eastAsia="Calibri"/>
          <w:sz w:val="28"/>
          <w:szCs w:val="28"/>
        </w:rPr>
      </w:r>
    </w:p>
    <w:p>
      <w:pPr>
        <w:pBdr/>
        <w:spacing w:after="120" w:before="120"/>
        <w: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5.3. До дж</w:t>
      </w:r>
      <w:r>
        <w:rPr>
          <w:rFonts w:eastAsia="Calibri"/>
          <w:sz w:val="28"/>
          <w:szCs w:val="28"/>
        </w:rPr>
        <w:t xml:space="preserve">ерел №№ 25, 29, 35, 36 (Відкрита насосна перекачування метанолу, бензину, нафтопродуктів, масла). При експлуатації насосного обладнання повинний бути встановлений нагляд за герметичністю насосів, трубопроводів, арматури. Пропуски необхідно негайно усувати.</w:t>
      </w:r>
      <w:r>
        <w:rPr>
          <w:rFonts w:eastAsia="Calibri"/>
          <w:sz w:val="28"/>
          <w:szCs w:val="28"/>
        </w:rPr>
      </w:r>
    </w:p>
    <w:p>
      <w:pPr>
        <w:pBdr/>
        <w:spacing w:after="120" w:before="120"/>
        <w: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До джерел №№ 30, 31, 32, 33, 34 (Естакада наливу дизпалива,  бензину, масла, хімреагентів). Зливоналивні  пристрої автоцистерн повинні бути справними; люки повинні бути забезпечені стійкими до нафтопр</w:t>
      </w:r>
      <w:r>
        <w:rPr>
          <w:rFonts w:eastAsia="Calibri"/>
          <w:sz w:val="28"/>
          <w:szCs w:val="28"/>
        </w:rPr>
        <w:t xml:space="preserve">одуктів прокладками і не допускати випліскування і підтікання нафтопродуктів при транспортуванні. Налив нафтопродуктів в автоцистерни необхідно проводити без розбризкування, під шар рідини, що досягається опусканням наливних рукавів і труб до дна цистерни.</w:t>
      </w:r>
      <w:r>
        <w:rPr>
          <w:rFonts w:eastAsia="Calibri"/>
          <w:sz w:val="28"/>
          <w:szCs w:val="28"/>
        </w:rPr>
      </w:r>
    </w:p>
    <w:p>
      <w:pPr>
        <w:pBdr/>
        <w:spacing w:after="120" w:before="120"/>
        <w: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5.5. До джерел №№ 54, 55 (Естакада зливу нафтопродуктів, масла).  Зливоналивні  пристрої автоцистерн повинні бути справними; люки повинні бути забезпечені стійкими до </w:t>
      </w:r>
      <w:r>
        <w:rPr>
          <w:rFonts w:eastAsia="Calibri"/>
          <w:sz w:val="28"/>
          <w:szCs w:val="28"/>
        </w:rPr>
        <w:t xml:space="preserve">нафтопродуктів прокладками і не допускати випліскування і підтікання нафтопродуктів при транспортуванні. Злив нафтопродуктів повинен здійснюватися, як правило, закритим (герметичним) способом через нижні зливні прилади цистерни та установки нижнього зливу.</w:t>
      </w:r>
      <w:r>
        <w:rPr>
          <w:rFonts w:eastAsia="Calibri"/>
          <w:sz w:val="28"/>
          <w:szCs w:val="28"/>
        </w:rPr>
      </w:r>
    </w:p>
    <w:p>
      <w:pPr>
        <w:pBdr/>
        <w:spacing w:after="120" w:before="120"/>
        <w: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5.6. До джерела № 50</w:t>
      </w:r>
      <w:r>
        <w:rPr>
          <w:rFonts w:eastAsia="Calibri"/>
          <w:sz w:val="28"/>
          <w:szCs w:val="28"/>
          <w:lang w:val="ru-RU"/>
        </w:rPr>
        <w:t xml:space="preserve"> (Люк бочки з реагентом)</w:t>
      </w:r>
      <w:r>
        <w:rPr>
          <w:rFonts w:eastAsia="Calibri"/>
          <w:sz w:val="28"/>
          <w:szCs w:val="28"/>
        </w:rPr>
        <w:t xml:space="preserve">. Проводити герметизацію і максимальне ущільнення стиків і з’єднань. Ємності  підлягають періодич</w:t>
      </w:r>
      <w:r>
        <w:rPr>
          <w:rFonts w:eastAsia="Calibri"/>
          <w:sz w:val="28"/>
          <w:szCs w:val="28"/>
        </w:rPr>
        <w:t xml:space="preserve">ному обстеженню, діагностуванню, що дозволяє визначити необхідність та вид ремонту. Проводити огляд ємностей не рідше ніж 1 раз на 3 роки. Візуальному огляду підлягають: стінка, днище, покрівля резервуару; фундамент; теплоізоляція; технологічне обладнання.</w:t>
      </w:r>
      <w:r>
        <w:rPr>
          <w:rFonts w:eastAsia="Calibri"/>
          <w:sz w:val="28"/>
          <w:szCs w:val="28"/>
        </w:rPr>
      </w:r>
    </w:p>
    <w:p>
      <w:pPr>
        <w:pBdr/>
        <w:spacing w:after="120" w:before="120"/>
        <w: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5.7. До джерел №№ 64, 65, 66, 67, 68, 69 (Пал</w:t>
      </w:r>
      <w:r>
        <w:rPr>
          <w:rFonts w:eastAsia="Calibri"/>
          <w:sz w:val="28"/>
          <w:szCs w:val="28"/>
        </w:rPr>
        <w:t xml:space="preserve">ивороздавальні колонки бензину та  дизпалива). Для зменшення втрат палива та запобіганню викидів в атмосферне повітря забруднюючих речовин на усьому ланцюгу технологічного процесу необхідно проводити технічний огляд та контроль за герметичністю обладнання.</w:t>
      </w:r>
      <w:r>
        <w:rPr>
          <w:rFonts w:eastAsia="Calibri"/>
          <w:sz w:val="28"/>
          <w:szCs w:val="28"/>
        </w:rPr>
      </w:r>
    </w:p>
    <w:p>
      <w:pPr>
        <w:pBdr/>
        <w:spacing w:after="120" w:before="120"/>
        <w:ind/>
        <w:jc w:val="both"/>
        <w:rPr>
          <w:rFonts w:ascii="Arial" w:hAnsi="Arial" w:cs="Arial"/>
          <w:color w:val="2e74b5" w:themeColor="accent1" w:themeShade="BF"/>
          <w:lang w:eastAsia="ru-RU"/>
        </w:rPr>
      </w:pPr>
      <w:r>
        <w:rPr>
          <w:rFonts w:ascii="Arial" w:hAnsi="Arial" w:cs="Arial"/>
          <w:color w:val="2e74b5" w:themeColor="accent1" w:themeShade="BF"/>
          <w:lang w:eastAsia="ru-RU"/>
        </w:rPr>
      </w:r>
      <w:r>
        <w:rPr>
          <w:rFonts w:ascii="Arial" w:hAnsi="Arial" w:cs="Arial"/>
          <w:color w:val="2e74b5" w:themeColor="accent1" w:themeShade="BF"/>
          <w:lang w:eastAsia="ru-RU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850" w:right="850" w:bottom="85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iosCond-Bold">
    <w:panose1 w:val="020B0603030804020204"/>
  </w:font>
  <w:font w:name="Wingdings">
    <w:panose1 w:val="05010000000000000000"/>
  </w:font>
  <w:font w:name="Cambria">
    <w:panose1 w:val="02040503050406030204"/>
  </w:font>
  <w:font w:name="TimesNewRomanPSMT">
    <w:panose1 w:val="02020603050405020304"/>
  </w:font>
  <w:font w:name="Candara">
    <w:panose1 w:val="020F0502020204030204"/>
  </w:font>
  <w:font w:name="1251 Futuris">
    <w:panose1 w:val="020B0603030804020204"/>
  </w:font>
  <w:font w:name="Symbol">
    <w:panose1 w:val="05010000000000000000"/>
  </w:font>
  <w:font w:name="Tahoma">
    <w:panose1 w:val="020B0604030504040204"/>
  </w:font>
  <w:font w:name="MS Mincho">
    <w:panose1 w:val="02020603050405090304"/>
  </w:font>
  <w:font w:name="IBM Plex Serif">
    <w:panose1 w:val="020B0603030804020204"/>
  </w:font>
  <w:font w:name="Calibri">
    <w:panose1 w:val="020F0502020204030204"/>
  </w:font>
  <w:font w:name="Liberation Mono">
    <w:panose1 w:val="02070409020205020404"/>
  </w:font>
  <w:font w:name="Segoe UI">
    <w:panose1 w:val="020B0502040504020204"/>
  </w:font>
  <w:font w:name="SimSun">
    <w:panose1 w:val="02020603020101020101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framePr w:h="406" w:hAnchor="page" w:hRule="exact" w:vAnchor="text" w:w="601" w:wrap="auto" w:x="511" w:y="-30"/>
      <w:pBdr/>
      <w:spacing/>
      <w:ind/>
      <w:rPr>
        <w:rStyle w:val="787"/>
      </w:rPr>
    </w:pPr>
    <w:r>
      <w:rPr>
        <w:rStyle w:val="787"/>
      </w:rPr>
      <w:fldChar w:fldCharType="begin"/>
    </w:r>
    <w:r>
      <w:rPr>
        <w:rStyle w:val="787"/>
      </w:rPr>
      <w:instrText xml:space="preserve">PAGE  </w:instrText>
    </w:r>
    <w:r>
      <w:rPr>
        <w:rStyle w:val="787"/>
      </w:rPr>
      <w:fldChar w:fldCharType="separate"/>
    </w:r>
    <w:r>
      <w:rPr>
        <w:rStyle w:val="787"/>
      </w:rPr>
      <w:t xml:space="preserve">20</w:t>
    </w:r>
    <w:r>
      <w:rPr>
        <w:rStyle w:val="787"/>
      </w:rPr>
      <w:fldChar w:fldCharType="end"/>
    </w:r>
    <w:r>
      <w:rPr>
        <w:rStyle w:val="787"/>
      </w:rPr>
    </w:r>
  </w:p>
  <w:p>
    <w:pPr>
      <w:pStyle w:val="785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framePr w:hAnchor="margin" w:vAnchor="text" w:wrap="auto" w:xAlign="right" w:y="1"/>
      <w:pBdr/>
      <w:spacing/>
      <w:ind/>
      <w:rPr>
        <w:rStyle w:val="787"/>
      </w:rPr>
    </w:pPr>
    <w:r>
      <w:rPr>
        <w:rStyle w:val="787"/>
      </w:rPr>
      <w:fldChar w:fldCharType="begin"/>
    </w:r>
    <w:r>
      <w:rPr>
        <w:rStyle w:val="787"/>
      </w:rPr>
      <w:instrText xml:space="preserve">PAGE  </w:instrText>
    </w:r>
    <w:r>
      <w:rPr>
        <w:rStyle w:val="787"/>
      </w:rPr>
      <w:fldChar w:fldCharType="separate"/>
    </w:r>
    <w:r>
      <w:rPr>
        <w:rStyle w:val="787"/>
      </w:rPr>
      <w:t xml:space="preserve">21</w:t>
    </w:r>
    <w:r>
      <w:rPr>
        <w:rStyle w:val="787"/>
      </w:rPr>
      <w:fldChar w:fldCharType="end"/>
    </w:r>
    <w:r>
      <w:rPr>
        <w:rStyle w:val="787"/>
      </w:rPr>
    </w:r>
  </w:p>
  <w:p>
    <w:pPr>
      <w:pStyle w:val="785"/>
      <w:pBdr/>
      <w:spacing/>
      <w:ind w:right="360"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framePr w:hAnchor="margin" w:vAnchor="text" w:wrap="auto" w:xAlign="right" w:y="1"/>
      <w:pBdr/>
      <w:spacing/>
      <w:ind/>
      <w:rPr>
        <w:rStyle w:val="787"/>
      </w:rPr>
    </w:pPr>
    <w:r>
      <w:rPr>
        <w:rStyle w:val="787"/>
      </w:rPr>
      <w:fldChar w:fldCharType="begin"/>
    </w:r>
    <w:r>
      <w:rPr>
        <w:rStyle w:val="787"/>
      </w:rPr>
      <w:instrText xml:space="preserve">PAGE  </w:instrText>
    </w:r>
    <w:r>
      <w:rPr>
        <w:rStyle w:val="787"/>
      </w:rPr>
      <w:fldChar w:fldCharType="separate"/>
    </w:r>
    <w:r>
      <w:rPr>
        <w:rStyle w:val="787"/>
      </w:rPr>
      <w:t xml:space="preserve">38</w:t>
    </w:r>
    <w:r>
      <w:rPr>
        <w:rStyle w:val="787"/>
      </w:rPr>
      <w:fldChar w:fldCharType="end"/>
    </w:r>
    <w:r>
      <w:rPr>
        <w:rStyle w:val="787"/>
      </w:rPr>
    </w:r>
  </w:p>
  <w:p>
    <w:pPr>
      <w:pStyle w:val="785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840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Times New Roman" w:hAnsi="Times New Roman" w:cs="Times New Roman"/>
        <w:color w:val="000000"/>
        <w:sz w:val="28"/>
        <w:szCs w:val="28"/>
        <w:lang w:val="uk-UA"/>
      </w:rPr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363"/>
        </w:tabs>
        <w:spacing/>
        <w:ind w:hanging="363" w:left="363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"/>
      <w:numFmt w:val="bullet"/>
      <w:pPr>
        <w:pBdr/>
        <w:tabs>
          <w:tab w:val="num" w:leader="none" w:pos="1071"/>
        </w:tabs>
        <w:spacing/>
        <w:ind w:hanging="363" w:left="10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71"/>
        </w:tabs>
        <w:spacing/>
        <w:ind w:hanging="360" w:left="107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791"/>
        </w:tabs>
        <w:spacing/>
        <w:ind w:hanging="360" w:left="179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11"/>
        </w:tabs>
        <w:spacing/>
        <w:ind w:hanging="360" w:left="251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31"/>
        </w:tabs>
        <w:spacing/>
        <w:ind w:hanging="360" w:left="323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51"/>
        </w:tabs>
        <w:spacing/>
        <w:ind w:hanging="360" w:left="395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71"/>
        </w:tabs>
        <w:spacing/>
        <w:ind w:hanging="360" w:left="467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391"/>
        </w:tabs>
        <w:spacing/>
        <w:ind w:hanging="360" w:left="539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11"/>
        </w:tabs>
        <w:spacing/>
        <w:ind w:hanging="360" w:left="6111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tabs>
          <w:tab w:val="num" w:leader="none" w:pos="1083"/>
        </w:tabs>
        <w:spacing/>
        <w:ind w:hanging="363" w:left="1083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3"/>
        </w:tabs>
        <w:spacing/>
        <w:ind w:hanging="360" w:left="1083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3"/>
        </w:tabs>
        <w:spacing/>
        <w:ind w:hanging="360" w:left="1803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23"/>
        </w:tabs>
        <w:spacing/>
        <w:ind w:hanging="360" w:left="2523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43"/>
        </w:tabs>
        <w:spacing/>
        <w:ind w:hanging="360" w:left="3243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3"/>
        </w:tabs>
        <w:spacing/>
        <w:ind w:hanging="360" w:left="3963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83"/>
        </w:tabs>
        <w:spacing/>
        <w:ind w:hanging="360" w:left="4683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403"/>
        </w:tabs>
        <w:spacing/>
        <w:ind w:hanging="360" w:left="5403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3"/>
        </w:tabs>
        <w:spacing/>
        <w:ind w:hanging="360" w:left="6123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77"/>
        </w:tabs>
        <w:spacing/>
        <w:ind w:hanging="360" w:left="187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97"/>
        </w:tabs>
        <w:spacing/>
        <w:ind w:hanging="360" w:left="259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317"/>
        </w:tabs>
        <w:spacing/>
        <w:ind w:hanging="360" w:left="331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037"/>
        </w:tabs>
        <w:spacing/>
        <w:ind w:hanging="360" w:left="403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757"/>
        </w:tabs>
        <w:spacing/>
        <w:ind w:hanging="360" w:left="475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77"/>
        </w:tabs>
        <w:spacing/>
        <w:ind w:hanging="360" w:left="547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97"/>
        </w:tabs>
        <w:spacing/>
        <w:ind w:hanging="360" w:left="619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917"/>
        </w:tabs>
        <w:spacing/>
        <w:ind w:hanging="360" w:left="6917"/>
      </w:pPr>
      <w:rPr>
        <w:rFonts w:hint="default" w:ascii="Wingdings" w:hAnsi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080"/>
      </w:pPr>
      <w:rPr>
        <w:rFonts w:hint="default" w:ascii="Times New Roman" w:hAnsi="Times New Roman" w:eastAsia="TimesNewRomanPSMT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Times New Roman" w:hAnsi="Times New Roman" w:cs="Times New Roman"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300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759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59"/>
    <w:link w:val="7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59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59"/>
    <w:link w:val="75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59"/>
    <w:link w:val="7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59"/>
    <w:link w:val="75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59"/>
    <w:link w:val="75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59"/>
    <w:link w:val="7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59"/>
    <w:link w:val="7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59"/>
    <w:link w:val="78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59"/>
    <w:link w:val="99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49"/>
    <w:next w:val="74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5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5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49"/>
    <w:next w:val="74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5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5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3">
    <w:name w:val="Subtle Reference"/>
    <w:basedOn w:val="75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5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59"/>
    <w:link w:val="803"/>
    <w:uiPriority w:val="99"/>
    <w:pPr>
      <w:pBdr/>
      <w:spacing/>
      <w:ind/>
    </w:pPr>
  </w:style>
  <w:style w:type="character" w:styleId="178">
    <w:name w:val="Footer Char"/>
    <w:basedOn w:val="759"/>
    <w:link w:val="785"/>
    <w:uiPriority w:val="99"/>
    <w:pPr>
      <w:pBdr/>
      <w:spacing/>
      <w:ind/>
    </w:pPr>
  </w:style>
  <w:style w:type="paragraph" w:styleId="180">
    <w:name w:val="footnote text"/>
    <w:basedOn w:val="74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59"/>
    <w:link w:val="1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4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5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59"/>
    <w:uiPriority w:val="99"/>
    <w:semiHidden/>
    <w:unhideWhenUsed/>
    <w:pPr>
      <w:pBdr/>
      <w:spacing/>
      <w:ind/>
    </w:pPr>
    <w:rPr>
      <w:vertAlign w:val="superscript"/>
    </w:rPr>
  </w:style>
  <w:style w:type="paragraph" w:styleId="198">
    <w:name w:val="table of figures"/>
    <w:basedOn w:val="749"/>
    <w:next w:val="749"/>
    <w:uiPriority w:val="99"/>
    <w:unhideWhenUsed/>
    <w:pPr>
      <w:pBdr/>
      <w:spacing w:after="0" w:afterAutospacing="0"/>
      <w:ind/>
    </w:pPr>
  </w:style>
  <w:style w:type="paragraph" w:styleId="749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750">
    <w:name w:val="Heading 1"/>
    <w:basedOn w:val="749"/>
    <w:next w:val="749"/>
    <w:link w:val="762"/>
    <w:qFormat/>
    <w:pPr>
      <w:keepNext w:val="true"/>
      <w:pBdr/>
      <w:tabs>
        <w:tab w:val="left" w:leader="none" w:pos="1080"/>
      </w:tabs>
      <w:spacing w:line="360" w:lineRule="auto"/>
      <w:ind/>
      <w:jc w:val="both"/>
      <w:outlineLvl w:val="0"/>
    </w:pPr>
    <w:rPr>
      <w:color w:val="000000"/>
      <w:sz w:val="28"/>
      <w:szCs w:val="28"/>
    </w:rPr>
  </w:style>
  <w:style w:type="paragraph" w:styleId="751">
    <w:name w:val="Heading 2"/>
    <w:basedOn w:val="749"/>
    <w:next w:val="749"/>
    <w:link w:val="763"/>
    <w:qFormat/>
    <w:pPr>
      <w:keepNext w:val="true"/>
      <w:pBdr>
        <w:bottom w:val="single" w:color="000000" w:sz="12" w:space="1"/>
      </w:pBdr>
      <w:spacing/>
      <w:ind/>
      <w:jc w:val="center"/>
      <w:outlineLvl w:val="1"/>
    </w:pPr>
    <w:rPr>
      <w:i/>
      <w:iCs/>
      <w:lang w:val="ru-RU"/>
    </w:rPr>
  </w:style>
  <w:style w:type="paragraph" w:styleId="752">
    <w:name w:val="Heading 3"/>
    <w:basedOn w:val="749"/>
    <w:next w:val="749"/>
    <w:link w:val="764"/>
    <w:qFormat/>
    <w:pPr>
      <w:keepNext w:val="true"/>
      <w:pBdr/>
      <w:spacing/>
      <w:ind/>
      <w:jc w:val="center"/>
      <w:outlineLvl w:val="2"/>
    </w:pPr>
    <w:rPr>
      <w:u w:val="single"/>
      <w:lang w:val="ru-RU"/>
    </w:rPr>
  </w:style>
  <w:style w:type="paragraph" w:styleId="753">
    <w:name w:val="Heading 4"/>
    <w:basedOn w:val="749"/>
    <w:next w:val="749"/>
    <w:link w:val="765"/>
    <w:qFormat/>
    <w:pPr>
      <w:keepNext w:val="true"/>
      <w:pBdr/>
      <w:spacing/>
      <w:ind/>
      <w:jc w:val="center"/>
      <w:outlineLvl w:val="3"/>
    </w:pPr>
    <w:rPr>
      <w:u w:val="single"/>
      <w:lang w:val="ru-RU"/>
    </w:rPr>
  </w:style>
  <w:style w:type="paragraph" w:styleId="754">
    <w:name w:val="Heading 5"/>
    <w:basedOn w:val="749"/>
    <w:next w:val="749"/>
    <w:link w:val="766"/>
    <w:qFormat/>
    <w:pPr>
      <w:keepNext w:val="true"/>
      <w:pBdr/>
      <w:spacing/>
      <w:ind/>
      <w:outlineLvl w:val="4"/>
    </w:pPr>
    <w:rPr>
      <w:sz w:val="28"/>
      <w:szCs w:val="28"/>
      <w:lang w:eastAsia="ru-RU"/>
    </w:rPr>
  </w:style>
  <w:style w:type="paragraph" w:styleId="755">
    <w:name w:val="Heading 6"/>
    <w:basedOn w:val="749"/>
    <w:next w:val="749"/>
    <w:link w:val="767"/>
    <w:qFormat/>
    <w:pPr>
      <w:keepNext w:val="true"/>
      <w:pBdr/>
      <w:spacing/>
      <w:ind/>
      <w:jc w:val="right"/>
      <w:outlineLvl w:val="5"/>
    </w:pPr>
    <w:rPr>
      <w:sz w:val="28"/>
      <w:szCs w:val="28"/>
      <w:lang w:eastAsia="ru-RU"/>
    </w:rPr>
  </w:style>
  <w:style w:type="paragraph" w:styleId="756">
    <w:name w:val="Heading 7"/>
    <w:basedOn w:val="749"/>
    <w:next w:val="749"/>
    <w:link w:val="768"/>
    <w:qFormat/>
    <w:pPr>
      <w:keepNext w:val="true"/>
      <w:pBdr/>
      <w:spacing w:before="120"/>
      <w:ind w:left="567"/>
      <w:jc w:val="right"/>
      <w:outlineLvl w:val="6"/>
    </w:pPr>
    <w:rPr>
      <w:sz w:val="28"/>
      <w:szCs w:val="28"/>
      <w:lang w:eastAsia="ru-RU"/>
    </w:rPr>
  </w:style>
  <w:style w:type="paragraph" w:styleId="757">
    <w:name w:val="Heading 8"/>
    <w:basedOn w:val="749"/>
    <w:next w:val="749"/>
    <w:link w:val="769"/>
    <w:qFormat/>
    <w:pPr>
      <w:keepNext w:val="true"/>
      <w:pBdr/>
      <w:spacing/>
      <w:ind/>
      <w:jc w:val="center"/>
      <w:outlineLvl w:val="7"/>
    </w:pPr>
    <w:rPr>
      <w:rFonts w:ascii="Verdana" w:hAnsi="Verdana" w:cs="Verdana"/>
      <w:sz w:val="20"/>
      <w:szCs w:val="20"/>
    </w:rPr>
  </w:style>
  <w:style w:type="paragraph" w:styleId="758">
    <w:name w:val="Heading 9"/>
    <w:basedOn w:val="749"/>
    <w:next w:val="749"/>
    <w:link w:val="770"/>
    <w:qFormat/>
    <w:pPr>
      <w:keepNext w:val="true"/>
      <w:pBdr/>
      <w:spacing/>
      <w:ind w:hanging="993" w:left="993"/>
      <w:jc w:val="center"/>
      <w:outlineLvl w:val="8"/>
    </w:pPr>
    <w:rPr>
      <w:b/>
      <w:bCs/>
      <w:sz w:val="28"/>
      <w:szCs w:val="28"/>
      <w:lang w:eastAsia="ru-RU"/>
    </w:rPr>
  </w:style>
  <w:style w:type="character" w:styleId="759" w:default="1">
    <w:name w:val="Default Paragraph Font"/>
    <w:uiPriority w:val="1"/>
    <w:semiHidden/>
    <w:unhideWhenUsed/>
    <w:pPr>
      <w:pBdr/>
      <w:spacing/>
      <w:ind/>
    </w:pPr>
  </w:style>
  <w:style w:type="table" w:styleId="76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1" w:default="1">
    <w:name w:val="No List"/>
    <w:uiPriority w:val="99"/>
    <w:semiHidden/>
    <w:unhideWhenUsed/>
    <w:pPr>
      <w:pBdr/>
      <w:spacing/>
      <w:ind/>
    </w:pPr>
  </w:style>
  <w:style w:type="character" w:styleId="762" w:customStyle="1">
    <w:name w:val="Заголовок 1 Знак"/>
    <w:basedOn w:val="759"/>
    <w:link w:val="750"/>
    <w:pPr>
      <w:pBdr/>
      <w:spacing/>
      <w:ind/>
    </w:pPr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763" w:customStyle="1">
    <w:name w:val="Заголовок 2 Знак"/>
    <w:basedOn w:val="759"/>
    <w:link w:val="751"/>
    <w:pPr>
      <w:pBdr/>
      <w:spacing/>
      <w:ind/>
    </w:pPr>
    <w:rPr>
      <w:rFonts w:ascii="Times New Roman" w:hAnsi="Times New Roman" w:eastAsia="Times New Roman" w:cs="Times New Roman"/>
      <w:i/>
      <w:iCs/>
      <w:sz w:val="24"/>
      <w:szCs w:val="24"/>
      <w:lang w:val="ru-RU"/>
    </w:rPr>
  </w:style>
  <w:style w:type="character" w:styleId="764" w:customStyle="1">
    <w:name w:val="Заголовок 3 Знак"/>
    <w:basedOn w:val="759"/>
    <w:link w:val="752"/>
    <w:pPr>
      <w:pBdr/>
      <w:spacing/>
      <w:ind/>
    </w:pPr>
    <w:rPr>
      <w:rFonts w:ascii="Times New Roman" w:hAnsi="Times New Roman" w:eastAsia="Times New Roman" w:cs="Times New Roman"/>
      <w:sz w:val="24"/>
      <w:szCs w:val="24"/>
      <w:u w:val="single"/>
      <w:lang w:val="ru-RU"/>
    </w:rPr>
  </w:style>
  <w:style w:type="character" w:styleId="765" w:customStyle="1">
    <w:name w:val="Заголовок 4 Знак"/>
    <w:basedOn w:val="759"/>
    <w:link w:val="753"/>
    <w:pPr>
      <w:pBdr/>
      <w:spacing/>
      <w:ind/>
    </w:pPr>
    <w:rPr>
      <w:rFonts w:ascii="Times New Roman" w:hAnsi="Times New Roman" w:eastAsia="Times New Roman" w:cs="Times New Roman"/>
      <w:sz w:val="24"/>
      <w:szCs w:val="24"/>
      <w:u w:val="single"/>
      <w:lang w:val="ru-RU"/>
    </w:rPr>
  </w:style>
  <w:style w:type="character" w:styleId="766" w:customStyle="1">
    <w:name w:val="Заголовок 5 Знак"/>
    <w:basedOn w:val="759"/>
    <w:link w:val="754"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67" w:customStyle="1">
    <w:name w:val="Заголовок 6 Знак"/>
    <w:basedOn w:val="759"/>
    <w:link w:val="755"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68" w:customStyle="1">
    <w:name w:val="Заголовок 7 Знак"/>
    <w:basedOn w:val="759"/>
    <w:link w:val="756"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69" w:customStyle="1">
    <w:name w:val="Заголовок 8 Знак"/>
    <w:basedOn w:val="759"/>
    <w:link w:val="757"/>
    <w:pPr>
      <w:pBdr/>
      <w:spacing/>
      <w:ind/>
    </w:pPr>
    <w:rPr>
      <w:rFonts w:ascii="Verdana" w:hAnsi="Verdana" w:eastAsia="Times New Roman" w:cs="Verdana"/>
      <w:sz w:val="20"/>
      <w:szCs w:val="20"/>
    </w:rPr>
  </w:style>
  <w:style w:type="character" w:styleId="770" w:customStyle="1">
    <w:name w:val="Заголовок 9 Знак"/>
    <w:basedOn w:val="759"/>
    <w:link w:val="758"/>
    <w:pPr>
      <w:pBdr/>
      <w:spacing/>
      <w:ind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771" w:customStyle="1">
    <w:name w:val="Знак Знак2 Знак Знак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772">
    <w:name w:val="Body Text 2"/>
    <w:basedOn w:val="749"/>
    <w:link w:val="773"/>
    <w:pPr>
      <w:pBdr/>
      <w:spacing/>
      <w:ind/>
      <w:jc w:val="center"/>
    </w:pPr>
    <w:rPr>
      <w:sz w:val="28"/>
      <w:szCs w:val="28"/>
      <w:lang w:val="ru-RU" w:eastAsia="ru-RU"/>
    </w:rPr>
  </w:style>
  <w:style w:type="character" w:styleId="773" w:customStyle="1">
    <w:name w:val="Основной текст 2 Знак"/>
    <w:basedOn w:val="759"/>
    <w:link w:val="772"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val="ru-RU" w:eastAsia="ru-RU"/>
    </w:rPr>
  </w:style>
  <w:style w:type="character" w:styleId="774" w:customStyle="1">
    <w:name w:val="tx1"/>
    <w:pPr>
      <w:pBdr/>
      <w:spacing/>
      <w:ind/>
    </w:pPr>
    <w:rPr>
      <w:b/>
      <w:bCs/>
    </w:rPr>
  </w:style>
  <w:style w:type="character" w:styleId="775" w:customStyle="1">
    <w:name w:val="m1"/>
    <w:uiPriority w:val="99"/>
    <w:pPr>
      <w:pBdr/>
      <w:spacing/>
      <w:ind/>
    </w:pPr>
    <w:rPr>
      <w:color w:val="0000ff"/>
    </w:rPr>
  </w:style>
  <w:style w:type="character" w:styleId="776" w:customStyle="1">
    <w:name w:val="b1"/>
    <w:uiPriority w:val="99"/>
    <w:pPr>
      <w:pBdr/>
      <w:spacing/>
      <w:ind/>
    </w:pPr>
    <w:rPr>
      <w:rFonts w:ascii="Courier New" w:hAnsi="Courier New" w:cs="Courier New"/>
      <w:b/>
      <w:bCs/>
      <w:color w:val="ff0000"/>
      <w:u w:val="none"/>
    </w:rPr>
  </w:style>
  <w:style w:type="character" w:styleId="777" w:customStyle="1">
    <w:name w:val="t1"/>
    <w:uiPriority w:val="99"/>
    <w:pPr>
      <w:pBdr/>
      <w:spacing/>
      <w:ind/>
    </w:pPr>
    <w:rPr>
      <w:color w:val="auto"/>
    </w:rPr>
  </w:style>
  <w:style w:type="paragraph" w:styleId="778">
    <w:name w:val="Body Text"/>
    <w:basedOn w:val="749"/>
    <w:link w:val="779"/>
    <w:uiPriority w:val="99"/>
    <w:pPr>
      <w:pBdr/>
      <w:spacing w:line="360" w:lineRule="auto"/>
      <w:ind/>
      <w:jc w:val="both"/>
    </w:pPr>
  </w:style>
  <w:style w:type="character" w:styleId="779" w:customStyle="1">
    <w:name w:val="Основной текст Знак"/>
    <w:basedOn w:val="759"/>
    <w:link w:val="778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780">
    <w:name w:val="Hyperlink"/>
    <w:uiPriority w:val="99"/>
    <w:pPr>
      <w:pBdr/>
      <w:spacing/>
      <w:ind/>
    </w:pPr>
    <w:rPr>
      <w:color w:val="0000ff"/>
      <w:u w:val="single"/>
    </w:rPr>
  </w:style>
  <w:style w:type="paragraph" w:styleId="781">
    <w:name w:val="HTML Preformatted"/>
    <w:basedOn w:val="749"/>
    <w:link w:val="782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styleId="782" w:customStyle="1">
    <w:name w:val="Стандартный HTML Знак"/>
    <w:basedOn w:val="759"/>
    <w:link w:val="781"/>
    <w:pPr>
      <w:pBdr/>
      <w:spacing/>
      <w:ind/>
    </w:pPr>
    <w:rPr>
      <w:rFonts w:ascii="Courier New" w:hAnsi="Courier New" w:eastAsia="Times New Roman" w:cs="Courier New"/>
      <w:color w:val="000000"/>
      <w:sz w:val="21"/>
      <w:szCs w:val="21"/>
      <w:lang w:val="ru-RU" w:eastAsia="ru-RU"/>
    </w:rPr>
  </w:style>
  <w:style w:type="paragraph" w:styleId="783">
    <w:name w:val="Title"/>
    <w:basedOn w:val="749"/>
    <w:link w:val="784"/>
    <w:qFormat/>
    <w:pPr>
      <w:pBdr/>
      <w:spacing/>
      <w:ind/>
      <w:jc w:val="center"/>
    </w:pPr>
    <w:rPr>
      <w:b/>
      <w:bCs/>
      <w:sz w:val="28"/>
      <w:szCs w:val="28"/>
      <w:lang w:eastAsia="ru-RU"/>
    </w:rPr>
  </w:style>
  <w:style w:type="character" w:styleId="784" w:customStyle="1">
    <w:name w:val="Заголовок Знак"/>
    <w:basedOn w:val="759"/>
    <w:link w:val="783"/>
    <w:pPr>
      <w:pBdr/>
      <w:spacing/>
      <w:ind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785">
    <w:name w:val="Footer"/>
    <w:basedOn w:val="749"/>
    <w:link w:val="786"/>
    <w:uiPriority w:val="99"/>
    <w:pPr>
      <w:pBdr/>
      <w:tabs>
        <w:tab w:val="center" w:leader="none" w:pos="4819"/>
        <w:tab w:val="right" w:leader="none" w:pos="9639"/>
      </w:tabs>
      <w:spacing/>
      <w:ind/>
    </w:pPr>
  </w:style>
  <w:style w:type="character" w:styleId="786" w:customStyle="1">
    <w:name w:val="Нижний колонтитул Знак"/>
    <w:basedOn w:val="759"/>
    <w:link w:val="785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787">
    <w:name w:val="page number"/>
    <w:basedOn w:val="759"/>
    <w:pPr>
      <w:pBdr/>
      <w:spacing/>
      <w:ind/>
    </w:pPr>
  </w:style>
  <w:style w:type="paragraph" w:styleId="788">
    <w:name w:val="toc 1"/>
    <w:basedOn w:val="749"/>
    <w:next w:val="749"/>
    <w:uiPriority w:val="39"/>
    <w:pPr>
      <w:pBdr/>
      <w:tabs>
        <w:tab w:val="right" w:leader="dot" w:pos="9629"/>
      </w:tabs>
      <w:spacing/>
      <w:ind/>
    </w:pPr>
    <w:rPr>
      <w:b/>
      <w:sz w:val="28"/>
      <w:szCs w:val="28"/>
      <w:lang w:eastAsia="ru-RU"/>
    </w:rPr>
  </w:style>
  <w:style w:type="paragraph" w:styleId="789">
    <w:name w:val="toc 2"/>
    <w:basedOn w:val="749"/>
    <w:next w:val="749"/>
    <w:pPr>
      <w:pBdr/>
      <w:spacing/>
      <w:ind w:left="240"/>
    </w:pPr>
  </w:style>
  <w:style w:type="paragraph" w:styleId="790">
    <w:name w:val="toc 3"/>
    <w:basedOn w:val="749"/>
    <w:next w:val="749"/>
    <w:uiPriority w:val="39"/>
    <w:pPr>
      <w:pBdr/>
      <w:spacing/>
      <w:ind w:left="480"/>
    </w:pPr>
  </w:style>
  <w:style w:type="paragraph" w:styleId="791">
    <w:name w:val="toc 4"/>
    <w:basedOn w:val="749"/>
    <w:next w:val="749"/>
    <w:pPr>
      <w:pBdr/>
      <w:spacing/>
      <w:ind w:left="720"/>
    </w:pPr>
  </w:style>
  <w:style w:type="paragraph" w:styleId="792">
    <w:name w:val="toc 5"/>
    <w:basedOn w:val="749"/>
    <w:next w:val="749"/>
    <w:pPr>
      <w:pBdr/>
      <w:spacing/>
      <w:ind w:left="960"/>
    </w:pPr>
  </w:style>
  <w:style w:type="paragraph" w:styleId="793">
    <w:name w:val="toc 6"/>
    <w:basedOn w:val="749"/>
    <w:next w:val="749"/>
    <w:pPr>
      <w:pBdr/>
      <w:spacing/>
      <w:ind w:left="1200"/>
    </w:pPr>
  </w:style>
  <w:style w:type="paragraph" w:styleId="794">
    <w:name w:val="toc 7"/>
    <w:basedOn w:val="749"/>
    <w:next w:val="749"/>
    <w:pPr>
      <w:pBdr/>
      <w:spacing/>
      <w:ind w:left="1440"/>
    </w:pPr>
  </w:style>
  <w:style w:type="paragraph" w:styleId="795">
    <w:name w:val="toc 8"/>
    <w:basedOn w:val="749"/>
    <w:next w:val="749"/>
    <w:pPr>
      <w:pBdr/>
      <w:spacing/>
      <w:ind w:left="1680"/>
    </w:pPr>
  </w:style>
  <w:style w:type="paragraph" w:styleId="796">
    <w:name w:val="toc 9"/>
    <w:basedOn w:val="749"/>
    <w:next w:val="749"/>
    <w:pPr>
      <w:pBdr/>
      <w:spacing/>
      <w:ind w:left="1920"/>
    </w:pPr>
  </w:style>
  <w:style w:type="paragraph" w:styleId="797">
    <w:name w:val="Body Text 3"/>
    <w:basedOn w:val="749"/>
    <w:link w:val="798"/>
    <w:pPr>
      <w:pBdr/>
      <w:spacing/>
      <w:ind/>
      <w:jc w:val="both"/>
    </w:pPr>
    <w:rPr>
      <w:sz w:val="28"/>
      <w:szCs w:val="28"/>
      <w:lang w:val="ru-RU"/>
    </w:rPr>
  </w:style>
  <w:style w:type="character" w:styleId="798" w:customStyle="1">
    <w:name w:val="Основной текст 3 Знак"/>
    <w:basedOn w:val="759"/>
    <w:link w:val="797"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799">
    <w:name w:val="Body Text Indent 2"/>
    <w:basedOn w:val="749"/>
    <w:link w:val="800"/>
    <w:pPr>
      <w:pBdr/>
      <w:spacing w:before="120"/>
      <w:ind w:left="567"/>
      <w:jc w:val="center"/>
    </w:pPr>
    <w:rPr>
      <w:sz w:val="28"/>
      <w:szCs w:val="28"/>
      <w:lang w:eastAsia="ru-RU"/>
    </w:rPr>
  </w:style>
  <w:style w:type="character" w:styleId="800" w:customStyle="1">
    <w:name w:val="Основной текст с отступом 2 Знак"/>
    <w:basedOn w:val="759"/>
    <w:link w:val="799"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01">
    <w:name w:val="Body Text Indent 3"/>
    <w:basedOn w:val="749"/>
    <w:link w:val="802"/>
    <w:pPr>
      <w:pBdr/>
      <w:spacing/>
      <w:ind w:firstLine="708"/>
      <w:jc w:val="both"/>
    </w:pPr>
    <w:rPr>
      <w:sz w:val="28"/>
      <w:szCs w:val="28"/>
      <w:lang w:eastAsia="ru-RU"/>
    </w:rPr>
  </w:style>
  <w:style w:type="character" w:styleId="802" w:customStyle="1">
    <w:name w:val="Основной текст с отступом 3 Знак"/>
    <w:basedOn w:val="759"/>
    <w:link w:val="801"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03">
    <w:name w:val="Header"/>
    <w:basedOn w:val="749"/>
    <w:link w:val="804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04" w:customStyle="1">
    <w:name w:val="Верхний колонтитул Знак"/>
    <w:basedOn w:val="759"/>
    <w:link w:val="803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805" w:customStyle="1">
    <w:name w:val="По ширине"/>
    <w:basedOn w:val="749"/>
    <w:uiPriority w:val="99"/>
    <w:pPr>
      <w:pBdr/>
      <w:spacing/>
      <w:ind w:firstLine="709"/>
      <w:jc w:val="both"/>
    </w:pPr>
    <w:rPr>
      <w:sz w:val="28"/>
      <w:szCs w:val="28"/>
      <w:lang w:val="ru-RU" w:eastAsia="ru-RU"/>
    </w:rPr>
  </w:style>
  <w:style w:type="table" w:styleId="806">
    <w:name w:val="Table Grid"/>
    <w:basedOn w:val="760"/>
    <w:uiPriority w:val="3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7">
    <w:name w:val="Body Text Indent"/>
    <w:basedOn w:val="749"/>
    <w:link w:val="808"/>
    <w:pPr>
      <w:pBdr/>
      <w:spacing w:after="120"/>
      <w:ind w:left="283"/>
    </w:pPr>
  </w:style>
  <w:style w:type="character" w:styleId="808" w:customStyle="1">
    <w:name w:val="Основной текст с отступом Знак"/>
    <w:basedOn w:val="759"/>
    <w:link w:val="807"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809" w:customStyle="1">
    <w:name w:val="Знак Знак1 Знак Знак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10" w:customStyle="1">
    <w:name w:val="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11" w:customStyle="1">
    <w:name w:val="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12" w:customStyle="1">
    <w:name w:val="Знак Знак1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13">
    <w:name w:val="Plain Text"/>
    <w:basedOn w:val="749"/>
    <w:link w:val="814"/>
    <w:pPr>
      <w:pBdr/>
      <w:spacing/>
      <w:ind/>
    </w:pPr>
    <w:rPr>
      <w:rFonts w:ascii="Courier New" w:hAnsi="Courier New" w:cs="Courier New"/>
      <w:sz w:val="20"/>
      <w:szCs w:val="20"/>
      <w:lang w:val="ru-RU" w:eastAsia="ru-RU"/>
    </w:rPr>
  </w:style>
  <w:style w:type="character" w:styleId="814" w:customStyle="1">
    <w:name w:val="Текст Знак"/>
    <w:basedOn w:val="759"/>
    <w:link w:val="813"/>
    <w:pPr>
      <w:pBdr/>
      <w:spacing/>
      <w:ind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paragraph" w:styleId="815" w:customStyle="1">
    <w:name w:val="Знак Знак1 Знак Знак Знак Знак3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16" w:customStyle="1">
    <w:name w:val="Знак Знак3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817">
    <w:name w:val="FollowedHyperlink"/>
    <w:uiPriority w:val="99"/>
    <w:pPr>
      <w:pBdr/>
      <w:spacing/>
      <w:ind/>
    </w:pPr>
    <w:rPr>
      <w:color w:val="800080"/>
      <w:u w:val="single"/>
    </w:rPr>
  </w:style>
  <w:style w:type="paragraph" w:styleId="818" w:customStyle="1">
    <w:name w:val="Знак Знак7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19" w:customStyle="1">
    <w:name w:val="Знак Знак72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0" w:customStyle="1">
    <w:name w:val="Знак Знак2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1" w:customStyle="1">
    <w:name w:val="Знак Знак3 Знак Знак1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2" w:customStyle="1">
    <w:name w:val="Знак Знак3 Знак Знак Знак Знак Знак Знак Знак Знак Знак Знак Знак Знак Знак Знак Знак Знак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3" w:customStyle="1">
    <w:name w:val="Знак Знак2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4" w:customStyle="1">
    <w:name w:val="Знак Знак2 Знак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5" w:customStyle="1">
    <w:name w:val="Звичайний + 12 pt"/>
    <w:basedOn w:val="749"/>
    <w:uiPriority w:val="99"/>
    <w:pPr>
      <w:keepNext w:val="true"/>
      <w:pBdr/>
      <w:tabs>
        <w:tab w:val="left" w:leader="none" w:pos="360"/>
        <w:tab w:val="num" w:leader="none" w:pos="1080"/>
      </w:tabs>
      <w:spacing w:line="260" w:lineRule="exact"/>
      <w:ind w:hanging="360" w:left="360"/>
      <w:jc w:val="center"/>
    </w:pPr>
    <w:rPr>
      <w:rFonts w:eastAsia="SimSun"/>
      <w:lang w:eastAsia="uk-UA"/>
    </w:rPr>
  </w:style>
  <w:style w:type="paragraph" w:styleId="826" w:customStyle="1">
    <w:name w:val="Знак Знак3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7">
    <w:name w:val="List Paragraph"/>
    <w:basedOn w:val="749"/>
    <w:uiPriority w:val="34"/>
    <w:qFormat/>
    <w:pPr>
      <w:pBdr/>
      <w:spacing/>
      <w:ind w:left="720"/>
      <w:contextualSpacing w:val="true"/>
    </w:pPr>
    <w:rPr>
      <w:lang w:val="ru-RU" w:eastAsia="ru-RU"/>
    </w:rPr>
  </w:style>
  <w:style w:type="paragraph" w:styleId="828" w:customStyle="1">
    <w:name w:val="Формула"/>
    <w:basedOn w:val="778"/>
    <w:uiPriority w:val="99"/>
    <w:pPr>
      <w:pBdr/>
      <w:tabs>
        <w:tab w:val="center" w:leader="none" w:pos="4536"/>
        <w:tab w:val="right" w:leader="none" w:pos="9356"/>
      </w:tabs>
      <w:spacing w:line="336" w:lineRule="auto"/>
      <w:ind/>
    </w:pPr>
    <w:rPr>
      <w:sz w:val="28"/>
      <w:szCs w:val="20"/>
      <w:lang w:eastAsia="ru-RU"/>
    </w:rPr>
  </w:style>
  <w:style w:type="character" w:styleId="829" w:customStyle="1">
    <w:name w:val="Основной текст Знак1"/>
    <w:pPr>
      <w:pBdr/>
      <w:spacing/>
      <w:ind/>
    </w:pPr>
    <w:rPr>
      <w:sz w:val="28"/>
      <w:lang w:eastAsia="ru-RU"/>
    </w:rPr>
  </w:style>
  <w:style w:type="paragraph" w:styleId="830">
    <w:name w:val="Balloon Text"/>
    <w:basedOn w:val="749"/>
    <w:link w:val="831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31" w:customStyle="1">
    <w:name w:val="Текст выноски Знак"/>
    <w:basedOn w:val="759"/>
    <w:link w:val="830"/>
    <w:pPr>
      <w:pBdr/>
      <w:spacing/>
      <w:ind/>
    </w:pPr>
    <w:rPr>
      <w:rFonts w:ascii="Segoe UI" w:hAnsi="Segoe UI" w:eastAsia="Times New Roman" w:cs="Segoe UI"/>
      <w:sz w:val="18"/>
      <w:szCs w:val="18"/>
    </w:rPr>
  </w:style>
  <w:style w:type="paragraph" w:styleId="832" w:customStyle="1">
    <w:name w:val="rvps2"/>
    <w:basedOn w:val="749"/>
    <w:uiPriority w:val="99"/>
    <w:pPr>
      <w:pBdr/>
      <w:spacing w:after="100" w:afterAutospacing="1" w:before="100" w:beforeAutospacing="1"/>
      <w:ind/>
    </w:pPr>
    <w:rPr>
      <w:rFonts w:eastAsia="Calibri"/>
      <w:lang w:eastAsia="uk-UA"/>
    </w:rPr>
  </w:style>
  <w:style w:type="paragraph" w:styleId="833" w:customStyle="1">
    <w:name w:val="Основной текст 21"/>
    <w:basedOn w:val="749"/>
    <w:pPr>
      <w:pBdr/>
      <w:spacing/>
      <w:ind/>
      <w:jc w:val="center"/>
    </w:pPr>
    <w:rPr>
      <w:sz w:val="28"/>
      <w:szCs w:val="28"/>
      <w:lang w:val="ru-RU" w:eastAsia="ar-SA"/>
    </w:rPr>
  </w:style>
  <w:style w:type="character" w:styleId="834">
    <w:name w:val="Strong"/>
    <w:basedOn w:val="759"/>
    <w:uiPriority w:val="22"/>
    <w:qFormat/>
    <w:pPr>
      <w:pBdr/>
      <w:spacing/>
      <w:ind/>
    </w:pPr>
    <w:rPr>
      <w:b/>
      <w:bCs/>
    </w:rPr>
  </w:style>
  <w:style w:type="character" w:styleId="835" w:customStyle="1">
    <w:name w:val="rvts40"/>
    <w:basedOn w:val="759"/>
    <w:pPr>
      <w:pBdr/>
      <w:spacing/>
      <w:ind/>
    </w:pPr>
  </w:style>
  <w:style w:type="paragraph" w:styleId="836" w:customStyle="1">
    <w:name w:val="заголовок 2"/>
    <w:basedOn w:val="749"/>
    <w:next w:val="749"/>
    <w:pPr>
      <w:keepNext w:val="true"/>
      <w:pBdr/>
      <w:spacing/>
      <w:ind/>
    </w:pPr>
    <w:rPr>
      <w:sz w:val="28"/>
      <w:szCs w:val="20"/>
      <w:lang w:eastAsia="ru-RU"/>
    </w:rPr>
  </w:style>
  <w:style w:type="paragraph" w:styleId="837">
    <w:name w:val="List Bullet 2"/>
    <w:basedOn w:val="749"/>
    <w:pPr>
      <w:pBdr/>
      <w:tabs>
        <w:tab w:val="num" w:leader="none" w:pos="643"/>
      </w:tabs>
      <w:spacing/>
      <w:ind w:hanging="360" w:left="643"/>
    </w:pPr>
    <w:rPr>
      <w:sz w:val="28"/>
      <w:szCs w:val="28"/>
      <w:lang w:eastAsia="uk-UA"/>
    </w:rPr>
  </w:style>
  <w:style w:type="paragraph" w:styleId="838">
    <w:name w:val="List Bullet 3"/>
    <w:basedOn w:val="749"/>
    <w:pPr>
      <w:pBdr/>
      <w:tabs>
        <w:tab w:val="num" w:leader="none" w:pos="926"/>
      </w:tabs>
      <w:spacing/>
      <w:ind w:hanging="360" w:left="926"/>
    </w:pPr>
    <w:rPr>
      <w:sz w:val="28"/>
      <w:szCs w:val="28"/>
      <w:lang w:eastAsia="uk-UA"/>
    </w:rPr>
  </w:style>
  <w:style w:type="paragraph" w:styleId="839" w:customStyle="1">
    <w:name w:val="абз01"/>
    <w:basedOn w:val="749"/>
    <w:pPr>
      <w:pBdr/>
      <w:spacing/>
      <w:ind/>
    </w:pPr>
    <w:rPr>
      <w:sz w:val="28"/>
      <w:szCs w:val="28"/>
      <w:lang w:eastAsia="uk-UA"/>
    </w:rPr>
  </w:style>
  <w:style w:type="paragraph" w:styleId="840">
    <w:name w:val="List Bullet"/>
    <w:basedOn w:val="749"/>
    <w:pPr>
      <w:numPr>
        <w:numId w:val="2"/>
      </w:numPr>
      <w:pBdr/>
      <w:spacing/>
      <w:ind/>
    </w:pPr>
    <w:rPr>
      <w:sz w:val="28"/>
      <w:szCs w:val="28"/>
      <w:lang w:eastAsia="uk-UA"/>
    </w:rPr>
  </w:style>
  <w:style w:type="paragraph" w:styleId="841">
    <w:name w:val="Document Map"/>
    <w:basedOn w:val="749"/>
    <w:link w:val="842"/>
    <w:pPr>
      <w:pBdr/>
      <w:shd w:val="clear" w:color="auto" w:fill="000080"/>
      <w:spacing/>
      <w:ind/>
    </w:pPr>
    <w:rPr>
      <w:rFonts w:ascii="Tahoma" w:hAnsi="Tahoma" w:cs="Tahoma"/>
      <w:sz w:val="20"/>
      <w:szCs w:val="20"/>
      <w:lang w:eastAsia="uk-UA"/>
    </w:rPr>
  </w:style>
  <w:style w:type="character" w:styleId="842" w:customStyle="1">
    <w:name w:val="Схема документа Знак"/>
    <w:basedOn w:val="759"/>
    <w:link w:val="841"/>
    <w:pPr>
      <w:pBdr/>
      <w:spacing/>
      <w:ind/>
    </w:pPr>
    <w:rPr>
      <w:rFonts w:ascii="Tahoma" w:hAnsi="Tahoma" w:eastAsia="Times New Roman" w:cs="Tahoma"/>
      <w:sz w:val="20"/>
      <w:szCs w:val="20"/>
      <w:shd w:val="clear" w:color="auto" w:fill="000080"/>
      <w:lang w:eastAsia="uk-UA"/>
    </w:rPr>
  </w:style>
  <w:style w:type="paragraph" w:styleId="843" w:customStyle="1">
    <w:name w:val="xl38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44" w:customStyle="1">
    <w:name w:val="xl27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45" w:customStyle="1">
    <w:name w:val="xl28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46" w:customStyle="1">
    <w:name w:val="xl29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47" w:customStyle="1">
    <w:name w:val="xl30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48" w:customStyle="1">
    <w:name w:val="xl31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49" w:customStyle="1">
    <w:name w:val="xl32"/>
    <w:basedOn w:val="749"/>
    <w:pPr>
      <w:pBdr/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50" w:customStyle="1">
    <w:name w:val="xl33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851" w:customStyle="1">
    <w:name w:val="xl34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52" w:customStyle="1">
    <w:name w:val="xl35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53" w:customStyle="1">
    <w:name w:val="xl36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54" w:customStyle="1">
    <w:name w:val="xl37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55" w:customStyle="1">
    <w:name w:val="xl39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56" w:customStyle="1">
    <w:name w:val="xl40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57" w:customStyle="1">
    <w:name w:val="xl41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58" w:customStyle="1">
    <w:name w:val="xl42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59" w:customStyle="1">
    <w:name w:val="xl43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860" w:customStyle="1">
    <w:name w:val="xl44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61" w:customStyle="1">
    <w:name w:val="xl45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62" w:customStyle="1">
    <w:name w:val="xl46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63" w:customStyle="1">
    <w:name w:val="font5"/>
    <w:basedOn w:val="74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64" w:customStyle="1">
    <w:name w:val="font6"/>
    <w:basedOn w:val="74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65" w:customStyle="1">
    <w:name w:val="font7"/>
    <w:basedOn w:val="74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u w:val="single"/>
      <w:lang w:eastAsia="uk-UA"/>
    </w:rPr>
  </w:style>
  <w:style w:type="paragraph" w:styleId="866" w:customStyle="1">
    <w:name w:val="font8"/>
    <w:basedOn w:val="74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67" w:customStyle="1">
    <w:name w:val="xl26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68" w:customStyle="1">
    <w:name w:val="xl47"/>
    <w:basedOn w:val="74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69" w:customStyle="1">
    <w:name w:val="xl48"/>
    <w:basedOn w:val="74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70" w:customStyle="1">
    <w:name w:val="xl49"/>
    <w:basedOn w:val="74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71" w:customStyle="1">
    <w:name w:val="xl50"/>
    <w:basedOn w:val="74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72" w:customStyle="1">
    <w:name w:val="xl51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73" w:customStyle="1">
    <w:name w:val="xl52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74" w:customStyle="1">
    <w:name w:val="xl53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75" w:customStyle="1">
    <w:name w:val="xl54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76" w:customStyle="1">
    <w:name w:val="xl55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77" w:customStyle="1">
    <w:name w:val="xl56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78" w:customStyle="1">
    <w:name w:val="xl57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79" w:customStyle="1">
    <w:name w:val="xl58"/>
    <w:basedOn w:val="74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80" w:customStyle="1">
    <w:name w:val="xl59"/>
    <w:basedOn w:val="74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881" w:customStyle="1">
    <w:name w:val="xl60"/>
    <w:basedOn w:val="74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882" w:customStyle="1">
    <w:name w:val="xl61"/>
    <w:basedOn w:val="74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883" w:customStyle="1">
    <w:name w:val="xl62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884" w:customStyle="1">
    <w:name w:val="xl63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885" w:customStyle="1">
    <w:name w:val="xl64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86" w:customStyle="1">
    <w:name w:val="xl65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87" w:customStyle="1">
    <w:name w:val="xl66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88" w:customStyle="1">
    <w:name w:val="xl67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89" w:customStyle="1">
    <w:name w:val="xl68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90" w:customStyle="1">
    <w:name w:val="xl69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91" w:customStyle="1">
    <w:name w:val="xl70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2" w:customStyle="1">
    <w:name w:val="xl71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3" w:customStyle="1">
    <w:name w:val="xl72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4" w:customStyle="1">
    <w:name w:val="xl73"/>
    <w:basedOn w:val="749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5" w:customStyle="1">
    <w:name w:val="xl74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6" w:customStyle="1">
    <w:name w:val="xl146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7" w:customStyle="1">
    <w:name w:val="xl147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98" w:customStyle="1">
    <w:name w:val="xl148"/>
    <w:basedOn w:val="74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99" w:customStyle="1">
    <w:name w:val="xl149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0" w:customStyle="1">
    <w:name w:val="xl150"/>
    <w:basedOn w:val="749"/>
    <w:pPr>
      <w:pBdr/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1" w:customStyle="1">
    <w:name w:val="xl151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2" w:customStyle="1">
    <w:name w:val="xl152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3" w:customStyle="1">
    <w:name w:val="xl153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4" w:customStyle="1">
    <w:name w:val="xl154"/>
    <w:basedOn w:val="749"/>
    <w:pPr>
      <w:pBdr/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5" w:customStyle="1">
    <w:name w:val="xl155"/>
    <w:basedOn w:val="74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06" w:customStyle="1">
    <w:name w:val="xl156"/>
    <w:basedOn w:val="749"/>
    <w:pPr>
      <w:pBdr/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7" w:customStyle="1">
    <w:name w:val="xl157"/>
    <w:basedOn w:val="74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08" w:customStyle="1">
    <w:name w:val="xl158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9" w:customStyle="1">
    <w:name w:val="xl159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0" w:customStyle="1">
    <w:name w:val="xl160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1" w:customStyle="1">
    <w:name w:val="xl161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2" w:customStyle="1">
    <w:name w:val="xl162"/>
    <w:basedOn w:val="749"/>
    <w:pPr>
      <w:pBdr/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3" w:customStyle="1">
    <w:name w:val="xl163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4" w:customStyle="1">
    <w:name w:val="xl164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5" w:customStyle="1">
    <w:name w:val="xl165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16" w:customStyle="1">
    <w:name w:val="xl166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17" w:customStyle="1">
    <w:name w:val="xl167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18" w:customStyle="1">
    <w:name w:val="xl168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19" w:customStyle="1">
    <w:name w:val="xl169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20" w:customStyle="1">
    <w:name w:val="xl170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21" w:customStyle="1">
    <w:name w:val="xl171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2" w:customStyle="1">
    <w:name w:val="xl172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3" w:customStyle="1">
    <w:name w:val="xl173"/>
    <w:basedOn w:val="74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4" w:customStyle="1">
    <w:name w:val="xl174"/>
    <w:basedOn w:val="74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5" w:customStyle="1">
    <w:name w:val="xl175"/>
    <w:basedOn w:val="749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6" w:customStyle="1">
    <w:name w:val="xl176"/>
    <w:basedOn w:val="749"/>
    <w:pPr>
      <w:pBdr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7" w:customStyle="1">
    <w:name w:val="xl177"/>
    <w:basedOn w:val="74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8" w:customStyle="1">
    <w:name w:val="xl178"/>
    <w:basedOn w:val="74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9" w:customStyle="1">
    <w:name w:val="xl179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0" w:customStyle="1">
    <w:name w:val="xl180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1" w:customStyle="1">
    <w:name w:val="xl181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2" w:customStyle="1">
    <w:name w:val="xl75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933" w:customStyle="1">
    <w:name w:val="xl76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934" w:customStyle="1">
    <w:name w:val="xl77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35" w:customStyle="1">
    <w:name w:val="xl78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36" w:customStyle="1">
    <w:name w:val="xl79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37" w:customStyle="1">
    <w:name w:val="xl80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38" w:customStyle="1">
    <w:name w:val="xl81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39" w:customStyle="1">
    <w:name w:val="xl82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40" w:customStyle="1">
    <w:name w:val="xl83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941" w:customStyle="1">
    <w:name w:val="xl84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42" w:customStyle="1">
    <w:name w:val="xl85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43" w:customStyle="1">
    <w:name w:val="xl87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44" w:customStyle="1">
    <w:name w:val="xl88"/>
    <w:basedOn w:val="749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45" w:customStyle="1">
    <w:name w:val="xl89"/>
    <w:basedOn w:val="74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46" w:customStyle="1">
    <w:name w:val="xl90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47" w:customStyle="1">
    <w:name w:val="xl91"/>
    <w:basedOn w:val="749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48" w:customStyle="1">
    <w:name w:val="xl92"/>
    <w:basedOn w:val="74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49" w:customStyle="1">
    <w:name w:val="xl93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50" w:customStyle="1">
    <w:name w:val="xl94"/>
    <w:basedOn w:val="749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51" w:customStyle="1">
    <w:name w:val="font9"/>
    <w:basedOn w:val="749"/>
    <w:pPr>
      <w:pBdr/>
      <w:spacing w:after="100" w:afterAutospacing="1" w:before="100" w:beforeAutospacing="1"/>
      <w:ind/>
    </w:pPr>
    <w:rPr>
      <w:i/>
      <w:iCs/>
      <w:sz w:val="20"/>
      <w:szCs w:val="20"/>
      <w:lang w:val="ru-RU" w:eastAsia="ru-RU"/>
    </w:rPr>
  </w:style>
  <w:style w:type="paragraph" w:styleId="952" w:customStyle="1">
    <w:name w:val="font10"/>
    <w:basedOn w:val="749"/>
    <w:pPr>
      <w:pBdr/>
      <w:spacing w:after="100" w:afterAutospacing="1" w:before="100" w:beforeAutospacing="1"/>
      <w:ind/>
    </w:pPr>
    <w:rPr>
      <w:sz w:val="20"/>
      <w:szCs w:val="20"/>
      <w:lang w:val="ru-RU" w:eastAsia="ru-RU"/>
    </w:rPr>
  </w:style>
  <w:style w:type="paragraph" w:styleId="953" w:customStyle="1">
    <w:name w:val="font11"/>
    <w:basedOn w:val="749"/>
    <w:pPr>
      <w:pBdr/>
      <w:spacing w:after="100" w:afterAutospacing="1" w:before="100" w:beforeAutospacing="1"/>
      <w:ind/>
    </w:pPr>
    <w:rPr>
      <w:sz w:val="20"/>
      <w:szCs w:val="20"/>
      <w:lang w:val="ru-RU" w:eastAsia="ru-RU"/>
    </w:rPr>
  </w:style>
  <w:style w:type="paragraph" w:styleId="954" w:customStyle="1">
    <w:name w:val="font12"/>
    <w:basedOn w:val="749"/>
    <w:pPr>
      <w:pBdr/>
      <w:spacing w:after="100" w:afterAutospacing="1" w:before="100" w:beforeAutospacing="1"/>
      <w:ind/>
    </w:pPr>
    <w:rPr>
      <w:i/>
      <w:iCs/>
      <w:sz w:val="20"/>
      <w:szCs w:val="20"/>
      <w:lang w:val="ru-RU" w:eastAsia="ru-RU"/>
    </w:rPr>
  </w:style>
  <w:style w:type="paragraph" w:styleId="955" w:customStyle="1">
    <w:name w:val="font13"/>
    <w:basedOn w:val="749"/>
    <w:pPr>
      <w:pBdr/>
      <w:spacing w:after="100" w:afterAutospacing="1" w:before="100" w:beforeAutospacing="1"/>
      <w:ind/>
    </w:pPr>
    <w:rPr>
      <w:rFonts w:ascii="Arial" w:hAnsi="Arial" w:cs="Arial"/>
      <w:i/>
      <w:iCs/>
      <w:sz w:val="20"/>
      <w:szCs w:val="20"/>
      <w:lang w:val="ru-RU" w:eastAsia="ru-RU"/>
    </w:rPr>
  </w:style>
  <w:style w:type="paragraph" w:styleId="956" w:customStyle="1">
    <w:name w:val="font14"/>
    <w:basedOn w:val="749"/>
    <w:pPr>
      <w:pBdr/>
      <w:spacing w:after="100" w:afterAutospacing="1" w:before="100" w:beforeAutospacing="1"/>
      <w:ind/>
    </w:pPr>
    <w:rPr>
      <w:rFonts w:ascii="Arial" w:hAnsi="Arial" w:cs="Arial"/>
      <w:i/>
      <w:iCs/>
      <w:sz w:val="20"/>
      <w:szCs w:val="20"/>
      <w:lang w:val="ru-RU" w:eastAsia="ru-RU"/>
    </w:rPr>
  </w:style>
  <w:style w:type="paragraph" w:styleId="957" w:customStyle="1">
    <w:name w:val="font15"/>
    <w:basedOn w:val="749"/>
    <w:pPr>
      <w:pBdr/>
      <w:spacing w:after="100" w:afterAutospacing="1" w:before="100" w:beforeAutospacing="1"/>
      <w:ind/>
    </w:pPr>
    <w:rPr>
      <w:i/>
      <w:iCs/>
      <w:sz w:val="16"/>
      <w:szCs w:val="16"/>
      <w:lang w:val="ru-RU" w:eastAsia="ru-RU"/>
    </w:rPr>
  </w:style>
  <w:style w:type="paragraph" w:styleId="958" w:customStyle="1">
    <w:name w:val="font16"/>
    <w:basedOn w:val="749"/>
    <w:pPr>
      <w:pBdr/>
      <w:spacing w:after="100" w:afterAutospacing="1" w:before="100" w:beforeAutospacing="1"/>
      <w:ind/>
    </w:pPr>
    <w:rPr>
      <w:i/>
      <w:iCs/>
      <w:sz w:val="20"/>
      <w:szCs w:val="20"/>
      <w:lang w:val="ru-RU" w:eastAsia="ru-RU"/>
    </w:rPr>
  </w:style>
  <w:style w:type="paragraph" w:styleId="959" w:customStyle="1">
    <w:name w:val="font17"/>
    <w:basedOn w:val="749"/>
    <w:pPr>
      <w:pBdr/>
      <w:spacing w:after="100" w:afterAutospacing="1" w:before="100" w:beforeAutospacing="1"/>
      <w:ind/>
    </w:pPr>
    <w:rPr>
      <w:rFonts w:ascii="Symbol" w:hAnsi="Symbol"/>
      <w:sz w:val="16"/>
      <w:szCs w:val="16"/>
      <w:lang w:val="ru-RU" w:eastAsia="ru-RU"/>
    </w:rPr>
  </w:style>
  <w:style w:type="paragraph" w:styleId="960" w:customStyle="1">
    <w:name w:val="xl86"/>
    <w:basedOn w:val="749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1" w:customStyle="1">
    <w:name w:val="xl95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2" w:customStyle="1">
    <w:name w:val="xl96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3" w:customStyle="1">
    <w:name w:val="xl97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964" w:customStyle="1">
    <w:name w:val="xl98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965" w:customStyle="1">
    <w:name w:val="xl99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lang w:val="ru-RU" w:eastAsia="ru-RU"/>
    </w:rPr>
  </w:style>
  <w:style w:type="paragraph" w:styleId="966" w:customStyle="1">
    <w:name w:val="xl100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lang w:val="ru-RU" w:eastAsia="ru-RU"/>
    </w:rPr>
  </w:style>
  <w:style w:type="paragraph" w:styleId="967" w:customStyle="1">
    <w:name w:val="xl101"/>
    <w:basedOn w:val="74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8" w:customStyle="1">
    <w:name w:val="xl102"/>
    <w:basedOn w:val="74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9" w:customStyle="1">
    <w:name w:val="xl103"/>
    <w:basedOn w:val="74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0" w:customStyle="1">
    <w:name w:val="xl104"/>
    <w:basedOn w:val="74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1" w:customStyle="1">
    <w:name w:val="xl105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2" w:customStyle="1">
    <w:name w:val="xl106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3" w:customStyle="1">
    <w:name w:val="xl107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4" w:customStyle="1">
    <w:name w:val="xl108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975" w:customStyle="1">
    <w:name w:val="xl109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976" w:customStyle="1">
    <w:name w:val="xl110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7" w:customStyle="1">
    <w:name w:val="xl111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978" w:customStyle="1">
    <w:name w:val="xl112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9" w:customStyle="1">
    <w:name w:val="xl113"/>
    <w:basedOn w:val="74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80" w:customStyle="1">
    <w:name w:val="xl114"/>
    <w:basedOn w:val="74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981" w:customStyle="1">
    <w:name w:val="xl115"/>
    <w:basedOn w:val="74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982" w:customStyle="1">
    <w:name w:val="xl116"/>
    <w:basedOn w:val="74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983" w:customStyle="1">
    <w:name w:val="xl117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984" w:customStyle="1">
    <w:name w:val="xl118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985" w:customStyle="1">
    <w:name w:val="xl119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86" w:customStyle="1">
    <w:name w:val="xl120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87" w:customStyle="1">
    <w:name w:val="xl121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88" w:customStyle="1">
    <w:name w:val="xl122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89" w:customStyle="1">
    <w:name w:val="xl123"/>
    <w:basedOn w:val="749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90" w:customStyle="1">
    <w:name w:val="заголовок 1"/>
    <w:basedOn w:val="749"/>
    <w:next w:val="749"/>
    <w:pPr>
      <w:keepNext w:val="true"/>
      <w:pBdr/>
      <w:spacing w:line="360" w:lineRule="auto"/>
      <w:ind/>
      <w:jc w:val="center"/>
    </w:pPr>
    <w:rPr>
      <w:rFonts w:ascii="1251 Futuris" w:hAnsi="1251 Futuris"/>
      <w:sz w:val="28"/>
      <w:szCs w:val="20"/>
      <w:lang w:eastAsia="ru-RU"/>
    </w:rPr>
  </w:style>
  <w:style w:type="paragraph" w:styleId="991">
    <w:name w:val="Subtitle"/>
    <w:basedOn w:val="749"/>
    <w:link w:val="992"/>
    <w:qFormat/>
    <w:pPr>
      <w:pBdr/>
      <w:spacing w:line="360" w:lineRule="auto"/>
      <w:ind/>
    </w:pPr>
    <w:rPr>
      <w:sz w:val="28"/>
      <w:szCs w:val="20"/>
      <w:lang w:eastAsia="ru-RU"/>
    </w:rPr>
  </w:style>
  <w:style w:type="character" w:styleId="992" w:customStyle="1">
    <w:name w:val="Подзаголовок Знак"/>
    <w:basedOn w:val="759"/>
    <w:link w:val="991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3" w:customStyle="1">
    <w:name w:val="заголовок 4"/>
    <w:basedOn w:val="749"/>
    <w:next w:val="749"/>
    <w:pPr>
      <w:keepNext w:val="true"/>
      <w:pBdr/>
      <w:spacing/>
      <w:ind w:firstLine="567"/>
    </w:pPr>
    <w:rPr>
      <w:sz w:val="26"/>
      <w:szCs w:val="20"/>
      <w:lang w:eastAsia="uk-UA"/>
    </w:rPr>
  </w:style>
  <w:style w:type="paragraph" w:styleId="994" w:customStyle="1">
    <w:name w:val="заголовок 3"/>
    <w:basedOn w:val="749"/>
    <w:next w:val="749"/>
    <w:pPr>
      <w:keepNext w:val="true"/>
      <w:pBdr/>
      <w:tabs>
        <w:tab w:val="left" w:leader="none" w:pos="360"/>
      </w:tabs>
      <w:spacing/>
      <w:ind w:hanging="360" w:left="360"/>
    </w:pPr>
    <w:rPr>
      <w:rFonts w:ascii="1251 Futuris" w:hAnsi="1251 Futuris"/>
      <w:sz w:val="26"/>
      <w:szCs w:val="20"/>
      <w:lang w:eastAsia="uk-UA"/>
    </w:rPr>
  </w:style>
  <w:style w:type="paragraph" w:styleId="995" w:customStyle="1">
    <w:name w:val="заголовок 5"/>
    <w:basedOn w:val="749"/>
    <w:next w:val="749"/>
    <w:pPr>
      <w:keepNext w:val="true"/>
      <w:pBdr/>
      <w:spacing/>
      <w:ind/>
      <w:jc w:val="right"/>
    </w:pPr>
    <w:rPr>
      <w:rFonts w:ascii="1251 Futuris" w:hAnsi="1251 Futuris"/>
      <w:szCs w:val="20"/>
      <w:lang w:eastAsia="uk-UA"/>
    </w:rPr>
  </w:style>
  <w:style w:type="paragraph" w:styleId="996" w:customStyle="1">
    <w:name w:val="Body Text 21"/>
    <w:basedOn w:val="749"/>
    <w:pPr>
      <w:widowControl w:val="false"/>
      <w:pBdr/>
      <w:spacing/>
      <w:ind w:firstLine="567"/>
      <w:jc w:val="both"/>
    </w:pPr>
    <w:rPr>
      <w:szCs w:val="20"/>
      <w:lang w:val="ru-RU" w:eastAsia="ru-RU"/>
    </w:rPr>
  </w:style>
  <w:style w:type="paragraph" w:styleId="997">
    <w:name w:val="List 2"/>
    <w:basedOn w:val="749"/>
    <w:pPr>
      <w:pBdr/>
      <w:spacing/>
      <w:ind w:hanging="283" w:left="566"/>
    </w:pPr>
    <w:rPr>
      <w:sz w:val="20"/>
      <w:szCs w:val="20"/>
      <w:lang w:eastAsia="ru-RU"/>
    </w:rPr>
  </w:style>
  <w:style w:type="paragraph" w:styleId="998">
    <w:name w:val="List 3"/>
    <w:basedOn w:val="749"/>
    <w:pPr>
      <w:pBdr/>
      <w:spacing/>
      <w:ind w:hanging="283" w:left="849"/>
    </w:pPr>
    <w:rPr>
      <w:sz w:val="20"/>
      <w:szCs w:val="20"/>
      <w:lang w:eastAsia="ru-RU"/>
    </w:rPr>
  </w:style>
  <w:style w:type="paragraph" w:styleId="999">
    <w:name w:val="List Continue 2"/>
    <w:basedOn w:val="749"/>
    <w:pPr>
      <w:pBdr/>
      <w:spacing w:after="120"/>
      <w:ind w:left="566"/>
    </w:pPr>
    <w:rPr>
      <w:sz w:val="20"/>
      <w:szCs w:val="20"/>
      <w:lang w:eastAsia="ru-RU"/>
    </w:rPr>
  </w:style>
  <w:style w:type="paragraph" w:styleId="1000">
    <w:name w:val="Caption"/>
    <w:basedOn w:val="749"/>
    <w:next w:val="749"/>
    <w:qFormat/>
    <w:pPr>
      <w:pBdr/>
      <w:spacing/>
      <w:ind/>
    </w:pPr>
    <w:rPr>
      <w:b/>
      <w:bCs/>
      <w:sz w:val="20"/>
      <w:szCs w:val="20"/>
      <w:lang w:eastAsia="ru-RU"/>
    </w:rPr>
  </w:style>
  <w:style w:type="paragraph" w:styleId="1001">
    <w:name w:val="Body Text First Indent"/>
    <w:basedOn w:val="778"/>
    <w:link w:val="1002"/>
    <w:pPr>
      <w:pBdr/>
      <w:spacing w:after="120" w:line="240" w:lineRule="auto"/>
      <w:ind w:firstLine="210"/>
      <w:jc w:val="left"/>
    </w:pPr>
    <w:rPr>
      <w:sz w:val="20"/>
      <w:szCs w:val="20"/>
      <w:lang w:eastAsia="ru-RU"/>
    </w:rPr>
  </w:style>
  <w:style w:type="character" w:styleId="1002" w:customStyle="1">
    <w:name w:val="Красная строка Знак"/>
    <w:basedOn w:val="779"/>
    <w:link w:val="1001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3">
    <w:name w:val="Body Text First Indent 2"/>
    <w:basedOn w:val="807"/>
    <w:link w:val="1004"/>
    <w:pPr>
      <w:pBdr/>
      <w:spacing/>
      <w:ind w:firstLine="210"/>
    </w:pPr>
    <w:rPr>
      <w:sz w:val="20"/>
      <w:szCs w:val="20"/>
      <w:lang w:eastAsia="ru-RU"/>
    </w:rPr>
  </w:style>
  <w:style w:type="character" w:styleId="1004" w:customStyle="1">
    <w:name w:val="Красная строка 2 Знак"/>
    <w:basedOn w:val="808"/>
    <w:link w:val="1003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5" w:customStyle="1">
    <w:name w:val="j"/>
    <w:basedOn w:val="750"/>
    <w:pPr>
      <w:pBdr/>
      <w:tabs>
        <w:tab w:val="clear" w:leader="none" w:pos="1080"/>
      </w:tabs>
      <w:spacing w:line="320" w:lineRule="exact"/>
      <w:ind/>
      <w:jc w:val="center"/>
    </w:pPr>
    <w:rPr>
      <w:b/>
      <w:caps/>
      <w:color w:val="auto"/>
      <w:lang w:val="en-US" w:eastAsia="ru-RU"/>
    </w:rPr>
  </w:style>
  <w:style w:type="paragraph" w:styleId="1006" w:customStyle="1">
    <w:name w:val="xl25"/>
    <w:basedOn w:val="749"/>
    <w:pPr>
      <w:pBdr/>
      <w:spacing w:after="100" w:afterAutospacing="1" w:before="100" w:beforeAutospacing="1"/>
      <w:ind/>
    </w:pPr>
    <w:rPr>
      <w:lang w:val="ru-RU" w:eastAsia="ru-RU"/>
    </w:rPr>
  </w:style>
  <w:style w:type="paragraph" w:styleId="1007" w:customStyle="1">
    <w:name w:val="Just"/>
    <w:pPr>
      <w:pBdr/>
      <w:spacing w:after="40" w:before="40" w:line="240" w:lineRule="auto"/>
      <w:ind w:firstLine="568"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008">
    <w:name w:val="Normal (Web)"/>
    <w:basedOn w:val="749"/>
    <w:link w:val="1302"/>
    <w:pPr>
      <w:pBdr/>
      <w:spacing w:after="100" w:afterAutospacing="1" w:before="100" w:beforeAutospacing="1"/>
      <w:ind/>
    </w:pPr>
    <w:rPr>
      <w:lang w:val="ru-RU" w:eastAsia="ru-RU"/>
    </w:rPr>
  </w:style>
  <w:style w:type="character" w:styleId="1009">
    <w:name w:val="Emphasis"/>
    <w:uiPriority w:val="20"/>
    <w:qFormat/>
    <w:pPr>
      <w:pBdr/>
      <w:spacing/>
      <w:ind/>
    </w:pPr>
    <w:rPr>
      <w:i/>
      <w:iCs/>
    </w:rPr>
  </w:style>
  <w:style w:type="paragraph" w:styleId="1010" w:customStyle="1">
    <w:name w:val="rvps3"/>
    <w:basedOn w:val="749"/>
    <w:pPr>
      <w:pBdr/>
      <w:spacing/>
      <w:ind w:left="360"/>
      <w:jc w:val="both"/>
    </w:pPr>
    <w:rPr>
      <w:lang w:val="ru-RU" w:eastAsia="ru-RU"/>
    </w:rPr>
  </w:style>
  <w:style w:type="character" w:styleId="1011" w:customStyle="1">
    <w:name w:val="rvts8"/>
    <w:pPr>
      <w:pBdr/>
      <w:spacing/>
      <w:ind/>
    </w:pPr>
    <w:rPr>
      <w:rFonts w:hint="default" w:ascii="Times New Roman" w:hAnsi="Times New Roman" w:cs="Times New Roman"/>
      <w:sz w:val="28"/>
      <w:szCs w:val="28"/>
    </w:rPr>
  </w:style>
  <w:style w:type="paragraph" w:styleId="1012">
    <w:name w:val="Block Text"/>
    <w:basedOn w:val="749"/>
    <w:pPr>
      <w:pBdr/>
      <w:shd w:val="clear" w:color="auto" w:fill="ffffff"/>
      <w:spacing/>
      <w:ind w:right="10" w:firstLine="720" w:left="221"/>
      <w:jc w:val="both"/>
    </w:pPr>
    <w:rPr>
      <w:color w:val="000000"/>
      <w:sz w:val="28"/>
      <w:szCs w:val="20"/>
      <w:lang w:eastAsia="ru-RU"/>
    </w:rPr>
  </w:style>
  <w:style w:type="character" w:styleId="1013" w:customStyle="1">
    <w:name w:val="Знак Знак Знак"/>
    <w:pPr>
      <w:pBdr/>
      <w:spacing/>
      <w:ind/>
    </w:pPr>
    <w:rPr>
      <w:b/>
      <w:sz w:val="28"/>
      <w:lang w:val="uk-UA" w:eastAsia="uk-UA" w:bidi="ar-SA"/>
    </w:rPr>
  </w:style>
  <w:style w:type="character" w:styleId="1014" w:customStyle="1">
    <w:name w:val="Знак Знак Знак1"/>
    <w:pPr>
      <w:pBdr/>
      <w:spacing/>
      <w:ind/>
    </w:pPr>
    <w:rPr>
      <w:rFonts w:ascii="1251 Futuris" w:hAnsi="1251 Futuris"/>
      <w:sz w:val="24"/>
      <w:lang w:val="uk-UA" w:eastAsia="ru-RU" w:bidi="ar-SA"/>
    </w:rPr>
  </w:style>
  <w:style w:type="character" w:styleId="1015" w:customStyle="1">
    <w:name w:val="Знак Знак Знак Знак12"/>
    <w:pPr>
      <w:pBdr/>
      <w:spacing/>
      <w:ind/>
    </w:pPr>
    <w:rPr>
      <w:rFonts w:ascii="1251 Futuris" w:hAnsi="1251 Futuris"/>
      <w:sz w:val="24"/>
      <w:lang w:val="uk-UA" w:eastAsia="ru-RU" w:bidi="ar-SA"/>
    </w:rPr>
  </w:style>
  <w:style w:type="table" w:styleId="1016" w:customStyle="1">
    <w:name w:val="Т_1"/>
    <w:basedOn w:val="760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uk-U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17" w:customStyle="1">
    <w:name w:val="Знак Знак5 Знак Знак Знак Знак Знак Знак Знак Знак Знак Знак Знак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18" w:customStyle="1">
    <w:name w:val="Знак Знак5 Знак Знак Знак Знак Знак Знак Знак Знак Знак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19" w:customStyle="1">
    <w:name w:val="Знак Знак7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20" w:customStyle="1">
    <w:name w:val="Основной текст 22"/>
    <w:basedOn w:val="749"/>
    <w:pPr>
      <w:pBdr/>
      <w:spacing w:after="120" w:line="480" w:lineRule="auto"/>
      <w:ind/>
    </w:pPr>
    <w:rPr>
      <w:sz w:val="20"/>
      <w:szCs w:val="20"/>
      <w:lang w:eastAsia="ru-RU"/>
    </w:rPr>
  </w:style>
  <w:style w:type="paragraph" w:styleId="1021" w:customStyle="1">
    <w:name w:val="Знак Знак5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22" w:customStyle="1">
    <w:name w:val="Знак Знак9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23" w:customStyle="1">
    <w:name w:val="Знак Знак5 Знак Знак Знак Знак Знак Знак Знак Знак Знак Знак Знак Знак Знак Знак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024" w:customStyle="1">
    <w:name w:val="Знак Знак6"/>
    <w:pPr>
      <w:pBdr/>
      <w:spacing/>
      <w:ind/>
    </w:pPr>
    <w:rPr>
      <w:sz w:val="28"/>
      <w:szCs w:val="28"/>
      <w:lang w:val="uk-UA" w:eastAsia="uk-UA" w:bidi="ar-SA"/>
    </w:rPr>
  </w:style>
  <w:style w:type="paragraph" w:styleId="1025" w:customStyle="1">
    <w:name w:val="Джерело№"/>
    <w:basedOn w:val="778"/>
    <w:pPr>
      <w:pBdr/>
      <w:spacing w:line="240" w:lineRule="auto"/>
      <w:ind/>
    </w:pPr>
    <w:rPr>
      <w:b/>
      <w:szCs w:val="20"/>
      <w:u w:val="single"/>
      <w:lang w:val="ru-RU" w:eastAsia="ru-RU"/>
    </w:rPr>
  </w:style>
  <w:style w:type="paragraph" w:styleId="1026" w:customStyle="1">
    <w:name w:val="Знак Знак10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27" w:customStyle="1">
    <w:name w:val="Знак Знак7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28" w:customStyle="1">
    <w:name w:val="Знак Знак5 Знак Знак Знак Знак Знак Знак Знак Знак Знак Знак Знак Знак Знак Знак Знак Знак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29" w:customStyle="1">
    <w:name w:val="Стандарт"/>
    <w:pPr>
      <w:widowControl w:val="false"/>
      <w:pBdr/>
      <w:tabs>
        <w:tab w:val="left" w:leader="none" w:pos="851"/>
      </w:tabs>
      <w:spacing w:after="0" w:line="240" w:lineRule="auto"/>
      <w:ind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30" w:customStyle="1">
    <w:name w:val="FR2"/>
    <w:pPr>
      <w:widowControl w:val="false"/>
      <w:pBdr/>
      <w:spacing w:after="0" w:before="240" w:line="300" w:lineRule="auto"/>
      <w:ind w:right="1200" w:left="1440"/>
      <w:jc w:val="center"/>
    </w:pPr>
    <w:rPr>
      <w:rFonts w:ascii="Arial" w:hAnsi="Arial" w:eastAsia="Times New Roman" w:cs="Arial"/>
      <w:b/>
      <w:bCs/>
      <w:i/>
      <w:iCs/>
      <w:sz w:val="24"/>
      <w:szCs w:val="24"/>
      <w:lang w:eastAsia="ru-RU"/>
    </w:rPr>
  </w:style>
  <w:style w:type="paragraph" w:styleId="1031" w:customStyle="1">
    <w:name w:val="FR1"/>
    <w:pPr>
      <w:widowControl w:val="false"/>
      <w:pBdr/>
      <w:spacing w:after="0" w:before="320" w:line="300" w:lineRule="auto"/>
      <w:ind w:right="600" w:firstLine="56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32" w:customStyle="1">
    <w:name w:val="Style2"/>
    <w:basedOn w:val="749"/>
    <w:pPr>
      <w:widowControl w:val="false"/>
      <w:pBdr/>
      <w:spacing/>
      <w:ind/>
    </w:pPr>
    <w:rPr>
      <w:lang w:eastAsia="uk-UA"/>
    </w:rPr>
  </w:style>
  <w:style w:type="paragraph" w:styleId="1033" w:customStyle="1">
    <w:name w:val="Style3"/>
    <w:basedOn w:val="749"/>
    <w:pPr>
      <w:widowControl w:val="false"/>
      <w:pBdr/>
      <w:spacing w:line="280" w:lineRule="exact"/>
      <w:ind w:firstLine="523"/>
      <w:jc w:val="both"/>
    </w:pPr>
    <w:rPr>
      <w:lang w:eastAsia="uk-UA"/>
    </w:rPr>
  </w:style>
  <w:style w:type="paragraph" w:styleId="1034" w:customStyle="1">
    <w:name w:val="Style4"/>
    <w:basedOn w:val="749"/>
    <w:pPr>
      <w:widowControl w:val="false"/>
      <w:pBdr/>
      <w:spacing/>
      <w:ind/>
    </w:pPr>
    <w:rPr>
      <w:lang w:eastAsia="uk-UA"/>
    </w:rPr>
  </w:style>
  <w:style w:type="paragraph" w:styleId="1035" w:customStyle="1">
    <w:name w:val="Style5"/>
    <w:basedOn w:val="749"/>
    <w:pPr>
      <w:widowControl w:val="false"/>
      <w:pBdr/>
      <w:spacing w:line="278" w:lineRule="exact"/>
      <w:ind w:firstLine="533"/>
    </w:pPr>
    <w:rPr>
      <w:lang w:eastAsia="uk-UA"/>
    </w:rPr>
  </w:style>
  <w:style w:type="character" w:styleId="1036" w:customStyle="1">
    <w:name w:val="Font Style11"/>
    <w:pPr>
      <w:pBdr/>
      <w:spacing/>
      <w:ind/>
    </w:pPr>
    <w:rPr>
      <w:rFonts w:ascii="Times New Roman" w:hAnsi="Times New Roman" w:cs="Times New Roman"/>
      <w:sz w:val="22"/>
      <w:szCs w:val="22"/>
    </w:rPr>
  </w:style>
  <w:style w:type="character" w:styleId="1037" w:customStyle="1">
    <w:name w:val="Font Style12"/>
    <w:pPr>
      <w:pBdr/>
      <w:spacing/>
      <w:ind/>
    </w:pPr>
    <w:rPr>
      <w:rFonts w:ascii="Times New Roman" w:hAnsi="Times New Roman" w:cs="Times New Roman"/>
      <w:b/>
      <w:bCs/>
      <w:sz w:val="22"/>
      <w:szCs w:val="22"/>
    </w:rPr>
  </w:style>
  <w:style w:type="paragraph" w:styleId="1038" w:customStyle="1">
    <w:name w:val="Style1"/>
    <w:basedOn w:val="749"/>
    <w:pPr>
      <w:widowControl w:val="false"/>
      <w:pBdr/>
      <w:spacing/>
      <w:ind/>
    </w:pPr>
    <w:rPr>
      <w:lang w:eastAsia="uk-UA"/>
    </w:rPr>
  </w:style>
  <w:style w:type="paragraph" w:styleId="1039" w:customStyle="1">
    <w:name w:val="Style10"/>
    <w:basedOn w:val="749"/>
    <w:pPr>
      <w:widowControl w:val="false"/>
      <w:pBdr/>
      <w:spacing/>
      <w:ind/>
    </w:pPr>
    <w:rPr>
      <w:lang w:eastAsia="uk-UA"/>
    </w:rPr>
  </w:style>
  <w:style w:type="character" w:styleId="1040" w:customStyle="1">
    <w:name w:val="Font Style13"/>
    <w:pPr>
      <w:pBdr/>
      <w:spacing/>
      <w:ind/>
    </w:pPr>
    <w:rPr>
      <w:rFonts w:ascii="Times New Roman" w:hAnsi="Times New Roman" w:cs="Times New Roman"/>
      <w:smallCaps/>
      <w:spacing w:val="10"/>
      <w:sz w:val="18"/>
      <w:szCs w:val="18"/>
    </w:rPr>
  </w:style>
  <w:style w:type="character" w:styleId="1041" w:customStyle="1">
    <w:name w:val="Font Style14"/>
    <w:pPr>
      <w:pBdr/>
      <w:spacing/>
      <w:ind/>
    </w:pPr>
    <w:rPr>
      <w:rFonts w:ascii="Candara" w:hAnsi="Candara" w:cs="Candara"/>
      <w:b/>
      <w:bCs/>
      <w:sz w:val="22"/>
      <w:szCs w:val="22"/>
    </w:rPr>
  </w:style>
  <w:style w:type="character" w:styleId="1042" w:customStyle="1">
    <w:name w:val="Font Style18"/>
    <w:pPr>
      <w:pBdr/>
      <w:spacing/>
      <w:ind/>
    </w:pPr>
    <w:rPr>
      <w:rFonts w:ascii="Times New Roman" w:hAnsi="Times New Roman" w:cs="Times New Roman"/>
      <w:b/>
      <w:bCs/>
      <w:i/>
      <w:iCs/>
      <w:sz w:val="8"/>
      <w:szCs w:val="8"/>
    </w:rPr>
  </w:style>
  <w:style w:type="character" w:styleId="1043" w:customStyle="1">
    <w:name w:val="Font Style19"/>
    <w:pPr>
      <w:pBdr/>
      <w:spacing/>
      <w:ind/>
    </w:pPr>
    <w:rPr>
      <w:rFonts w:ascii="Times New Roman" w:hAnsi="Times New Roman" w:cs="Times New Roman"/>
      <w:sz w:val="18"/>
      <w:szCs w:val="18"/>
    </w:rPr>
  </w:style>
  <w:style w:type="character" w:styleId="1044" w:customStyle="1">
    <w:name w:val="Font Style20"/>
    <w:pPr>
      <w:pBdr/>
      <w:spacing/>
      <w:ind/>
    </w:pPr>
    <w:rPr>
      <w:rFonts w:ascii="Times New Roman" w:hAnsi="Times New Roman" w:cs="Times New Roman"/>
      <w:b/>
      <w:bCs/>
      <w:spacing w:val="20"/>
      <w:sz w:val="8"/>
      <w:szCs w:val="8"/>
    </w:rPr>
  </w:style>
  <w:style w:type="paragraph" w:styleId="1045" w:customStyle="1">
    <w:name w:val="Style6"/>
    <w:basedOn w:val="749"/>
    <w:pPr>
      <w:widowControl w:val="false"/>
      <w:pBdr/>
      <w:spacing w:line="278" w:lineRule="exact"/>
      <w:ind w:hanging="355"/>
      <w:jc w:val="both"/>
    </w:pPr>
    <w:rPr>
      <w:lang w:eastAsia="uk-UA"/>
    </w:rPr>
  </w:style>
  <w:style w:type="paragraph" w:styleId="1046" w:customStyle="1">
    <w:name w:val="Style7"/>
    <w:basedOn w:val="749"/>
    <w:pPr>
      <w:widowControl w:val="false"/>
      <w:pBdr/>
      <w:spacing w:line="394" w:lineRule="exact"/>
      <w:ind w:firstLine="1550"/>
    </w:pPr>
    <w:rPr>
      <w:lang w:eastAsia="uk-UA"/>
    </w:rPr>
  </w:style>
  <w:style w:type="paragraph" w:styleId="1047" w:customStyle="1">
    <w:name w:val="Style8"/>
    <w:basedOn w:val="749"/>
    <w:pPr>
      <w:widowControl w:val="false"/>
      <w:pBdr/>
      <w:spacing/>
      <w:ind/>
    </w:pPr>
    <w:rPr>
      <w:lang w:eastAsia="uk-UA"/>
    </w:rPr>
  </w:style>
  <w:style w:type="paragraph" w:styleId="1048" w:customStyle="1">
    <w:name w:val="Style9"/>
    <w:basedOn w:val="749"/>
    <w:pPr>
      <w:widowControl w:val="false"/>
      <w:pBdr/>
      <w:spacing w:line="274" w:lineRule="exact"/>
      <w:ind/>
    </w:pPr>
    <w:rPr>
      <w:lang w:eastAsia="uk-UA"/>
    </w:rPr>
  </w:style>
  <w:style w:type="character" w:styleId="1049" w:customStyle="1">
    <w:name w:val="Font Style100"/>
    <w:pPr>
      <w:pBdr/>
      <w:spacing/>
      <w:ind/>
    </w:pPr>
    <w:rPr>
      <w:rFonts w:ascii="Arial" w:hAnsi="Arial" w:cs="Arial"/>
      <w:sz w:val="24"/>
      <w:szCs w:val="24"/>
    </w:rPr>
  </w:style>
  <w:style w:type="character" w:styleId="1050" w:customStyle="1">
    <w:name w:val="hps"/>
    <w:pPr>
      <w:pBdr/>
      <w:spacing/>
      <w:ind/>
    </w:pPr>
  </w:style>
  <w:style w:type="character" w:styleId="1051" w:customStyle="1">
    <w:name w:val="atn"/>
    <w:pPr>
      <w:pBdr/>
      <w:spacing/>
      <w:ind/>
    </w:pPr>
  </w:style>
  <w:style w:type="character" w:styleId="1052" w:customStyle="1">
    <w:name w:val="hps atn"/>
    <w:pPr>
      <w:pBdr/>
      <w:spacing/>
      <w:ind/>
    </w:pPr>
  </w:style>
  <w:style w:type="paragraph" w:styleId="1053" w:customStyle="1">
    <w:name w:val="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54" w:customStyle="1">
    <w:name w:val="Знак Знак7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55" w:customStyle="1">
    <w:name w:val="Знак Знак7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56">
    <w:name w:val="No Spacing"/>
    <w:link w:val="1365"/>
    <w:qFormat/>
    <w:pPr>
      <w:pBdr/>
      <w:spacing w:after="0" w:line="240" w:lineRule="auto"/>
      <w:ind/>
    </w:pPr>
    <w:rPr>
      <w:rFonts w:ascii="Calibri" w:hAnsi="Calibri" w:eastAsia="Calibri" w:cs="Times New Roman"/>
      <w:lang w:val="ru-RU"/>
    </w:rPr>
  </w:style>
  <w:style w:type="paragraph" w:styleId="1057" w:customStyle="1">
    <w:name w:val="msonormalcxspmiddlecxsplast"/>
    <w:basedOn w:val="749"/>
    <w:pPr>
      <w:pBdr/>
      <w:spacing w:after="100" w:afterAutospacing="1" w:before="100" w:beforeAutospacing="1"/>
      <w:ind/>
    </w:pPr>
    <w:rPr>
      <w:lang w:val="ru-RU" w:eastAsia="ru-RU"/>
    </w:rPr>
  </w:style>
  <w:style w:type="character" w:styleId="1058" w:customStyle="1">
    <w:name w:val="Стиль 12 pt"/>
    <w:pPr>
      <w:pBdr/>
      <w:spacing/>
      <w:ind/>
    </w:pPr>
    <w:rPr>
      <w:sz w:val="24"/>
    </w:rPr>
  </w:style>
  <w:style w:type="paragraph" w:styleId="1059" w:customStyle="1">
    <w:name w:val="Знак Знак5 Знак Знак Знак Знак Знак Знак Знак Знак Знак Знак Знак Знак Знак Знак Знак Знак2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60" w:customStyle="1">
    <w:name w:val="Знак Знак3 Знак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61" w:customStyle="1">
    <w:name w:val="Знак Знак5 Знак Знак Знак Знак Знак Знак Знак Знак Знак Знак Знак Знак Знак Знак Знак Знак Знак Знак1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62" w:customStyle="1">
    <w:name w:val="Знак Знак4 Знак Знак2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63" w:customStyle="1">
    <w:name w:val="xl182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64" w:customStyle="1">
    <w:name w:val="xl183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65" w:customStyle="1">
    <w:name w:val="xl184"/>
    <w:basedOn w:val="749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66" w:customStyle="1">
    <w:name w:val="xl185"/>
    <w:basedOn w:val="74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67" w:customStyle="1">
    <w:name w:val="xl186"/>
    <w:basedOn w:val="74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68" w:customStyle="1">
    <w:name w:val="xl187"/>
    <w:basedOn w:val="74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69" w:customStyle="1">
    <w:name w:val="xl188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70" w:customStyle="1">
    <w:name w:val="xl189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71" w:customStyle="1">
    <w:name w:val="xl190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72" w:customStyle="1">
    <w:name w:val="xl191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73" w:customStyle="1">
    <w:name w:val="xl192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74" w:customStyle="1">
    <w:name w:val="xl193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75" w:customStyle="1">
    <w:name w:val="xl194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76" w:customStyle="1">
    <w:name w:val="xl195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077" w:customStyle="1">
    <w:name w:val="xl196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078" w:customStyle="1">
    <w:name w:val="xl197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079" w:customStyle="1">
    <w:name w:val="xl198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80" w:customStyle="1">
    <w:name w:val="xl199"/>
    <w:basedOn w:val="74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81" w:customStyle="1">
    <w:name w:val="xl200"/>
    <w:basedOn w:val="74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82" w:customStyle="1">
    <w:name w:val="xl201"/>
    <w:basedOn w:val="74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83" w:customStyle="1">
    <w:name w:val="xl202"/>
    <w:basedOn w:val="74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84" w:customStyle="1">
    <w:name w:val="xl203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85" w:customStyle="1">
    <w:name w:val="xl204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86" w:customStyle="1">
    <w:name w:val="xl205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87" w:customStyle="1">
    <w:name w:val="xl206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88" w:customStyle="1">
    <w:name w:val="xl207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089" w:customStyle="1">
    <w:name w:val="xl208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090" w:customStyle="1">
    <w:name w:val="xl209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091" w:customStyle="1">
    <w:name w:val="xl210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2" w:customStyle="1">
    <w:name w:val="xl211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3" w:customStyle="1">
    <w:name w:val="xl212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4" w:customStyle="1">
    <w:name w:val="xl213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5" w:customStyle="1">
    <w:name w:val="xl214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6" w:customStyle="1">
    <w:name w:val="xl215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7" w:customStyle="1">
    <w:name w:val="xl216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8" w:customStyle="1">
    <w:name w:val="xl217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9" w:customStyle="1">
    <w:name w:val="xl218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00" w:customStyle="1">
    <w:name w:val="xl219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01" w:customStyle="1">
    <w:name w:val="xl220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02" w:customStyle="1">
    <w:name w:val="xl221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03" w:customStyle="1">
    <w:name w:val="xl222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04" w:customStyle="1">
    <w:name w:val="xl223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05" w:customStyle="1">
    <w:name w:val="xl224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06" w:customStyle="1">
    <w:name w:val="xl225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07" w:customStyle="1">
    <w:name w:val="xl226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08" w:customStyle="1">
    <w:name w:val="xl227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09" w:customStyle="1">
    <w:name w:val="xl228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10" w:customStyle="1">
    <w:name w:val="xl229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11" w:customStyle="1">
    <w:name w:val="xl230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12" w:customStyle="1">
    <w:name w:val="xl231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13" w:customStyle="1">
    <w:name w:val="xl232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lang w:eastAsia="uk-UA"/>
    </w:rPr>
  </w:style>
  <w:style w:type="paragraph" w:styleId="1114" w:customStyle="1">
    <w:name w:val="xl233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lang w:eastAsia="uk-UA"/>
    </w:rPr>
  </w:style>
  <w:style w:type="paragraph" w:styleId="1115" w:customStyle="1">
    <w:name w:val="xl234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16" w:customStyle="1">
    <w:name w:val="xl235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17" w:customStyle="1">
    <w:name w:val="xl236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18" w:customStyle="1">
    <w:name w:val="xl237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19" w:customStyle="1">
    <w:name w:val="xl238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0" w:customStyle="1">
    <w:name w:val="xl239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1" w:customStyle="1">
    <w:name w:val="xl240"/>
    <w:basedOn w:val="749"/>
    <w:pPr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2" w:customStyle="1">
    <w:name w:val="xl241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3" w:customStyle="1">
    <w:name w:val="xl242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4" w:customStyle="1">
    <w:name w:val="xl243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5" w:customStyle="1">
    <w:name w:val="xl244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lang w:eastAsia="uk-UA"/>
    </w:rPr>
  </w:style>
  <w:style w:type="paragraph" w:styleId="1126" w:customStyle="1">
    <w:name w:val="xl245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7" w:customStyle="1">
    <w:name w:val="xl246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8" w:customStyle="1">
    <w:name w:val="xl247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9" w:customStyle="1">
    <w:name w:val="xl248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30" w:customStyle="1">
    <w:name w:val="xl249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1" w:customStyle="1">
    <w:name w:val="xl250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lang w:eastAsia="uk-UA"/>
    </w:rPr>
  </w:style>
  <w:style w:type="paragraph" w:styleId="1132" w:customStyle="1">
    <w:name w:val="xl251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lang w:eastAsia="uk-UA"/>
    </w:rPr>
  </w:style>
  <w:style w:type="paragraph" w:styleId="1133" w:customStyle="1">
    <w:name w:val="xl252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lang w:eastAsia="uk-UA"/>
    </w:rPr>
  </w:style>
  <w:style w:type="paragraph" w:styleId="1134" w:customStyle="1">
    <w:name w:val="xl253"/>
    <w:basedOn w:val="74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5" w:customStyle="1">
    <w:name w:val="xl254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6" w:customStyle="1">
    <w:name w:val="xl255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7" w:customStyle="1">
    <w:name w:val="xl256"/>
    <w:basedOn w:val="749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8" w:customStyle="1">
    <w:name w:val="xl257"/>
    <w:basedOn w:val="74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9" w:customStyle="1">
    <w:name w:val="xl258"/>
    <w:basedOn w:val="74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40" w:customStyle="1">
    <w:name w:val="xl259"/>
    <w:basedOn w:val="74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41" w:customStyle="1">
    <w:name w:val="xl260"/>
    <w:basedOn w:val="74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42" w:customStyle="1">
    <w:name w:val="xl261"/>
    <w:basedOn w:val="74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43" w:customStyle="1">
    <w:name w:val="xl262"/>
    <w:basedOn w:val="74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44" w:customStyle="1">
    <w:name w:val="xl263"/>
    <w:basedOn w:val="74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45" w:customStyle="1">
    <w:name w:val="xl264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46" w:customStyle="1">
    <w:name w:val="xl265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47" w:customStyle="1">
    <w:name w:val="xl266"/>
    <w:basedOn w:val="74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48" w:customStyle="1">
    <w:name w:val="xl267"/>
    <w:basedOn w:val="74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character" w:styleId="1149" w:customStyle="1">
    <w:name w:val="Основний текст (2)_"/>
    <w:link w:val="1150"/>
    <w:pPr>
      <w:pBdr/>
      <w:spacing/>
      <w:ind/>
    </w:pPr>
    <w:rPr>
      <w:shd w:val="clear" w:color="auto" w:fill="ffffff"/>
    </w:rPr>
  </w:style>
  <w:style w:type="paragraph" w:styleId="1150" w:customStyle="1">
    <w:name w:val="Основний текст (2)1"/>
    <w:basedOn w:val="749"/>
    <w:link w:val="1149"/>
    <w:pPr>
      <w:widowControl w:val="false"/>
      <w:pBdr/>
      <w:shd w:val="clear" w:color="auto" w:fill="ffffff"/>
      <w:spacing w:line="205" w:lineRule="exact"/>
      <w:ind/>
      <w:jc w:val="both"/>
    </w:pPr>
    <w:rPr>
      <w:rFonts w:asciiTheme="minorHAnsi" w:hAnsiTheme="minorHAnsi" w:eastAsiaTheme="minorHAnsi" w:cstheme="minorBidi"/>
      <w:sz w:val="22"/>
      <w:szCs w:val="22"/>
    </w:rPr>
  </w:style>
  <w:style w:type="character" w:styleId="1151" w:customStyle="1">
    <w:name w:val="Основний текст (3)_"/>
    <w:link w:val="1152"/>
    <w:pPr>
      <w:pBdr/>
      <w:spacing/>
      <w:ind/>
    </w:pPr>
    <w:rPr>
      <w:i/>
      <w:iCs/>
      <w:spacing w:val="-10"/>
      <w:sz w:val="19"/>
      <w:szCs w:val="19"/>
      <w:shd w:val="clear" w:color="auto" w:fill="ffffff"/>
    </w:rPr>
  </w:style>
  <w:style w:type="paragraph" w:styleId="1152" w:customStyle="1">
    <w:name w:val="Основний текст (3)"/>
    <w:basedOn w:val="749"/>
    <w:link w:val="1151"/>
    <w:pPr>
      <w:widowControl w:val="false"/>
      <w:pBdr/>
      <w:shd w:val="clear" w:color="auto" w:fill="ffffff"/>
      <w:spacing w:line="205" w:lineRule="exact"/>
      <w:ind w:firstLine="480"/>
      <w:jc w:val="both"/>
    </w:pPr>
    <w:rPr>
      <w:rFonts w:asciiTheme="minorHAnsi" w:hAnsiTheme="minorHAnsi" w:eastAsiaTheme="minorHAnsi" w:cstheme="minorBidi"/>
      <w:i/>
      <w:iCs/>
      <w:spacing w:val="-10"/>
      <w:sz w:val="19"/>
      <w:szCs w:val="19"/>
    </w:rPr>
  </w:style>
  <w:style w:type="character" w:styleId="1153" w:customStyle="1">
    <w:name w:val="Основний текст (3) + 4 pt"/>
    <w:pPr>
      <w:pBdr/>
      <w:spacing/>
      <w:ind/>
    </w:pPr>
    <w:rPr>
      <w:i/>
      <w:iCs/>
      <w:spacing w:val="0"/>
      <w:sz w:val="8"/>
      <w:szCs w:val="8"/>
      <w:shd w:val="clear" w:color="auto" w:fill="ffffff"/>
    </w:rPr>
  </w:style>
  <w:style w:type="paragraph" w:styleId="1154" w:customStyle="1">
    <w:name w:val="Основной текст 23"/>
    <w:basedOn w:val="749"/>
    <w:pPr>
      <w:pBdr/>
      <w:spacing w:after="120" w:line="480" w:lineRule="auto"/>
      <w:ind/>
    </w:pPr>
    <w:rPr>
      <w:sz w:val="20"/>
      <w:szCs w:val="20"/>
      <w:lang w:eastAsia="ru-RU"/>
    </w:rPr>
  </w:style>
  <w:style w:type="paragraph" w:styleId="1155" w:customStyle="1">
    <w:name w:val="Знак Знак Знак Знак Знак Знак1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156" w:customStyle="1">
    <w:name w:val="Знак Знак2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157" w:customStyle="1">
    <w:name w:val="xfmc1"/>
    <w:basedOn w:val="749"/>
    <w:pPr>
      <w:pBdr/>
      <w:spacing w:after="100" w:afterAutospacing="1" w:before="100" w:beforeAutospacing="1"/>
      <w:ind/>
    </w:pPr>
    <w:rPr>
      <w:lang w:val="ru-RU" w:eastAsia="ru-RU"/>
    </w:rPr>
  </w:style>
  <w:style w:type="paragraph" w:styleId="1158" w:customStyle="1">
    <w:name w:val="xfmc2"/>
    <w:basedOn w:val="749"/>
    <w:pPr>
      <w:pBdr/>
      <w:spacing w:after="100" w:afterAutospacing="1" w:before="100" w:beforeAutospacing="1"/>
      <w:ind/>
    </w:pPr>
    <w:rPr>
      <w:lang w:val="ru-RU" w:eastAsia="ru-RU"/>
    </w:rPr>
  </w:style>
  <w:style w:type="paragraph" w:styleId="1159" w:customStyle="1">
    <w:name w:val="Знак Знак7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160" w:customStyle="1">
    <w:name w:val="Основной текст 24"/>
    <w:basedOn w:val="749"/>
    <w:pPr>
      <w:pBdr/>
      <w:spacing w:after="120" w:line="480" w:lineRule="auto"/>
      <w:ind/>
    </w:pPr>
    <w:rPr>
      <w:sz w:val="20"/>
      <w:szCs w:val="20"/>
      <w:lang w:eastAsia="ru-RU"/>
    </w:rPr>
  </w:style>
  <w:style w:type="paragraph" w:styleId="1161" w:customStyle="1">
    <w:name w:val="Знак Знак4 Знак Знак1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162" w:customStyle="1">
    <w:name w:val="Основной текст (5)_"/>
    <w:link w:val="1163"/>
    <w:pPr>
      <w:pBdr/>
      <w:spacing/>
      <w:ind/>
    </w:pPr>
    <w:rPr>
      <w:b/>
      <w:bCs/>
      <w:shd w:val="clear" w:color="auto" w:fill="ffffff"/>
    </w:rPr>
  </w:style>
  <w:style w:type="paragraph" w:styleId="1163" w:customStyle="1">
    <w:name w:val="Основной текст (5)"/>
    <w:basedOn w:val="749"/>
    <w:link w:val="1162"/>
    <w:pPr>
      <w:widowControl w:val="false"/>
      <w:pBdr/>
      <w:shd w:val="clear" w:color="auto" w:fill="ffffff"/>
      <w:spacing w:after="60" w:before="600" w:line="240" w:lineRule="atLeast"/>
      <w:ind/>
    </w:pPr>
    <w:rPr>
      <w:rFonts w:asciiTheme="minorHAnsi" w:hAnsiTheme="minorHAnsi" w:eastAsiaTheme="minorHAnsi" w:cstheme="minorBidi"/>
      <w:b/>
      <w:bCs/>
      <w:sz w:val="22"/>
      <w:szCs w:val="22"/>
    </w:rPr>
  </w:style>
  <w:style w:type="character" w:styleId="1164" w:customStyle="1">
    <w:name w:val="Основной текст (2)_"/>
    <w:link w:val="1165"/>
    <w:pPr>
      <w:pBdr/>
      <w:spacing/>
      <w:ind/>
    </w:pPr>
    <w:rPr>
      <w:shd w:val="clear" w:color="auto" w:fill="ffffff"/>
    </w:rPr>
  </w:style>
  <w:style w:type="paragraph" w:styleId="1165" w:customStyle="1">
    <w:name w:val="Основной текст (2)1"/>
    <w:basedOn w:val="749"/>
    <w:link w:val="1164"/>
    <w:pPr>
      <w:widowControl w:val="false"/>
      <w:pBdr/>
      <w:shd w:val="clear" w:color="auto" w:fill="ffffff"/>
      <w:spacing w:before="300" w:line="274" w:lineRule="exact"/>
      <w:ind w:hanging="380"/>
    </w:pPr>
    <w:rPr>
      <w:rFonts w:asciiTheme="minorHAnsi" w:hAnsiTheme="minorHAnsi" w:eastAsiaTheme="minorHAnsi" w:cstheme="minorBidi"/>
      <w:sz w:val="22"/>
      <w:szCs w:val="22"/>
    </w:rPr>
  </w:style>
  <w:style w:type="character" w:styleId="1166" w:customStyle="1">
    <w:name w:val="Заголовок №4_"/>
    <w:link w:val="1167"/>
    <w:pPr>
      <w:pBdr/>
      <w:spacing/>
      <w:ind/>
    </w:pPr>
    <w:rPr>
      <w:b/>
      <w:bCs/>
      <w:i/>
      <w:iCs/>
      <w:shd w:val="clear" w:color="auto" w:fill="ffffff"/>
    </w:rPr>
  </w:style>
  <w:style w:type="paragraph" w:styleId="1167" w:customStyle="1">
    <w:name w:val="Заголовок №4"/>
    <w:basedOn w:val="749"/>
    <w:link w:val="1166"/>
    <w:pPr>
      <w:widowControl w:val="false"/>
      <w:pBdr/>
      <w:shd w:val="clear" w:color="auto" w:fill="ffffff"/>
      <w:spacing w:after="180" w:before="660" w:line="274" w:lineRule="exact"/>
      <w:ind/>
      <w:jc w:val="center"/>
      <w:outlineLvl w:val="3"/>
    </w:pPr>
    <w:rPr>
      <w:rFonts w:asciiTheme="minorHAnsi" w:hAnsiTheme="minorHAnsi" w:eastAsiaTheme="minorHAnsi" w:cstheme="minorBidi"/>
      <w:b/>
      <w:bCs/>
      <w:i/>
      <w:iCs/>
      <w:sz w:val="22"/>
      <w:szCs w:val="22"/>
    </w:rPr>
  </w:style>
  <w:style w:type="character" w:styleId="1168" w:customStyle="1">
    <w:name w:val="Основной текст (4) + Не полужирный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6"/>
      <w:szCs w:val="36"/>
      <w:u w:val="none"/>
      <w:lang w:val="uk-UA" w:eastAsia="uk-UA" w:bidi="uk-UA"/>
    </w:rPr>
  </w:style>
  <w:style w:type="character" w:styleId="1169" w:customStyle="1">
    <w:name w:val="Основной текст (4)_"/>
    <w:link w:val="1170"/>
    <w:pPr>
      <w:pBdr/>
      <w:spacing/>
      <w:ind/>
    </w:pPr>
    <w:rPr>
      <w:i/>
      <w:iCs/>
      <w:shd w:val="clear" w:color="auto" w:fill="ffffff"/>
    </w:rPr>
  </w:style>
  <w:style w:type="paragraph" w:styleId="1170" w:customStyle="1">
    <w:name w:val="Основной текст (4)"/>
    <w:basedOn w:val="749"/>
    <w:link w:val="1169"/>
    <w:pPr>
      <w:widowControl w:val="false"/>
      <w:pBdr/>
      <w:shd w:val="clear" w:color="auto" w:fill="ffffff"/>
      <w:spacing w:after="240" w:before="60" w:line="240" w:lineRule="atLeast"/>
      <w:ind w:hanging="580"/>
      <w:jc w:val="center"/>
    </w:pPr>
    <w:rPr>
      <w:rFonts w:asciiTheme="minorHAnsi" w:hAnsiTheme="minorHAnsi" w:eastAsiaTheme="minorHAnsi" w:cstheme="minorBidi"/>
      <w:i/>
      <w:iCs/>
      <w:sz w:val="22"/>
      <w:szCs w:val="22"/>
    </w:rPr>
  </w:style>
  <w:style w:type="paragraph" w:styleId="1171" w:customStyle="1">
    <w:name w:val="font18"/>
    <w:basedOn w:val="749"/>
    <w:pPr>
      <w:pBdr/>
      <w:spacing w:after="100" w:afterAutospacing="1" w:before="100" w:beforeAutospacing="1"/>
      <w:ind/>
    </w:pPr>
    <w:rPr>
      <w:rFonts w:ascii="Symbol" w:hAnsi="Symbol"/>
      <w:i/>
      <w:iCs/>
      <w:color w:val="969696"/>
      <w:sz w:val="20"/>
      <w:szCs w:val="20"/>
      <w:lang w:eastAsia="uk-UA"/>
    </w:rPr>
  </w:style>
  <w:style w:type="paragraph" w:styleId="1172" w:customStyle="1">
    <w:name w:val="font19"/>
    <w:basedOn w:val="749"/>
    <w:pPr>
      <w:pBdr/>
      <w:spacing w:after="100" w:afterAutospacing="1" w:before="100" w:beforeAutospacing="1"/>
      <w:ind/>
    </w:pPr>
    <w:rPr>
      <w:i/>
      <w:iCs/>
      <w:color w:val="969696"/>
      <w:sz w:val="20"/>
      <w:szCs w:val="20"/>
      <w:lang w:eastAsia="uk-UA"/>
    </w:rPr>
  </w:style>
  <w:style w:type="paragraph" w:styleId="1173" w:customStyle="1">
    <w:name w:val="font20"/>
    <w:basedOn w:val="749"/>
    <w:pPr>
      <w:pBdr/>
      <w:spacing w:after="100" w:afterAutospacing="1" w:before="100" w:beforeAutospacing="1"/>
      <w:ind/>
    </w:pPr>
    <w:rPr>
      <w:rFonts w:ascii="Symbol" w:hAnsi="Symbol"/>
      <w:color w:val="000000"/>
      <w:sz w:val="20"/>
      <w:szCs w:val="20"/>
      <w:lang w:eastAsia="uk-UA"/>
    </w:rPr>
  </w:style>
  <w:style w:type="paragraph" w:styleId="1174" w:customStyle="1">
    <w:name w:val="font21"/>
    <w:basedOn w:val="749"/>
    <w:pPr>
      <w:pBdr/>
      <w:spacing w:after="100" w:afterAutospacing="1" w:before="100" w:beforeAutospacing="1"/>
      <w:ind/>
    </w:pPr>
    <w:rPr>
      <w:color w:val="000000"/>
      <w:sz w:val="20"/>
      <w:szCs w:val="20"/>
      <w:lang w:eastAsia="uk-UA"/>
    </w:rPr>
  </w:style>
  <w:style w:type="character" w:styleId="1175" w:customStyle="1">
    <w:name w:val="Текст Знак1"/>
    <w:pPr>
      <w:pBdr/>
      <w:spacing/>
      <w:ind/>
    </w:pPr>
    <w:rPr>
      <w:rFonts w:ascii="Courier New" w:hAnsi="Courier New" w:cs="Courier New"/>
      <w:lang w:val="ru-RU" w:eastAsia="ru-RU"/>
    </w:rPr>
  </w:style>
  <w:style w:type="paragraph" w:styleId="1176" w:customStyle="1">
    <w:name w:val="seo-table-generated-text"/>
    <w:basedOn w:val="749"/>
    <w:uiPriority w:val="99"/>
    <w:pPr>
      <w:pBdr/>
      <w:spacing w:after="100" w:afterAutospacing="1" w:before="100" w:beforeAutospacing="1"/>
      <w:ind/>
    </w:pPr>
    <w:rPr>
      <w:rFonts w:eastAsiaTheme="minorHAnsi"/>
      <w:lang w:eastAsia="uk-UA"/>
    </w:rPr>
  </w:style>
  <w:style w:type="character" w:styleId="1177" w:customStyle="1">
    <w:name w:val="rynqvb"/>
    <w:basedOn w:val="759"/>
    <w:pPr>
      <w:pBdr/>
      <w:spacing/>
      <w:ind/>
    </w:pPr>
  </w:style>
  <w:style w:type="paragraph" w:styleId="1178" w:customStyle="1">
    <w:name w:val="tl"/>
    <w:basedOn w:val="749"/>
    <w:uiPriority w:val="99"/>
    <w:pPr>
      <w:pBdr/>
      <w:spacing w:after="100" w:afterAutospacing="1" w:before="100" w:beforeAutospacing="1"/>
      <w:ind/>
    </w:pPr>
    <w:rPr>
      <w:lang w:eastAsia="uk-UA"/>
    </w:rPr>
  </w:style>
  <w:style w:type="character" w:styleId="1179" w:customStyle="1">
    <w:name w:val="rvts23"/>
    <w:basedOn w:val="759"/>
    <w:pPr>
      <w:pBdr/>
      <w:spacing/>
      <w:ind/>
    </w:pPr>
  </w:style>
  <w:style w:type="character" w:styleId="1180" w:customStyle="1">
    <w:name w:val="rvts9"/>
    <w:basedOn w:val="759"/>
    <w:pPr>
      <w:pBdr/>
      <w:spacing/>
      <w:ind/>
    </w:pPr>
  </w:style>
  <w:style w:type="paragraph" w:styleId="1181" w:customStyle="1">
    <w:name w:val="таблица"/>
    <w:basedOn w:val="749"/>
    <w:uiPriority w:val="99"/>
    <w:pPr>
      <w:pBdr/>
      <w:spacing w:after="240" w:before="240"/>
      <w:ind/>
      <w:jc w:val="both"/>
    </w:pPr>
    <w:rPr>
      <w:rFonts w:ascii="Arial" w:hAnsi="Arial"/>
      <w:sz w:val="20"/>
      <w:szCs w:val="20"/>
      <w:lang w:val="ru-RU" w:eastAsia="ru-RU"/>
    </w:rPr>
  </w:style>
  <w:style w:type="paragraph" w:styleId="1182" w:customStyle="1">
    <w:name w:val="Specification First"/>
    <w:basedOn w:val="749"/>
    <w:pPr>
      <w:pBdr/>
      <w:tabs>
        <w:tab w:val="left" w:leader="none" w:pos="1134"/>
      </w:tabs>
      <w:spacing w:line="360" w:lineRule="auto"/>
      <w:ind w:hanging="1332" w:left="1332"/>
    </w:pPr>
    <w:rPr>
      <w:szCs w:val="20"/>
    </w:rPr>
  </w:style>
  <w:style w:type="paragraph" w:styleId="1183" w:customStyle="1">
    <w:name w:val="Specification Next"/>
    <w:basedOn w:val="749"/>
    <w:pPr>
      <w:pBdr/>
      <w:tabs>
        <w:tab w:val="left" w:leader="none" w:pos="1134"/>
      </w:tabs>
      <w:spacing w:line="360" w:lineRule="auto"/>
      <w:ind w:hanging="1049" w:left="1333"/>
    </w:pPr>
    <w:rPr>
      <w:szCs w:val="20"/>
    </w:rPr>
  </w:style>
  <w:style w:type="paragraph" w:styleId="1184" w:customStyle="1">
    <w:name w:val="tj"/>
    <w:basedOn w:val="749"/>
    <w:uiPriority w:val="99"/>
    <w:pPr>
      <w:pBdr/>
      <w:spacing w:after="100" w:afterAutospacing="1" w:before="100" w:beforeAutospacing="1"/>
      <w:ind/>
    </w:pPr>
    <w:rPr>
      <w:lang w:eastAsia="uk-UA"/>
    </w:rPr>
  </w:style>
  <w:style w:type="character" w:styleId="1185" w:customStyle="1">
    <w:name w:val="hard-blue-color"/>
    <w:basedOn w:val="759"/>
    <w:pPr>
      <w:pBdr/>
      <w:spacing/>
      <w:ind/>
    </w:pPr>
  </w:style>
  <w:style w:type="paragraph" w:styleId="1186" w:customStyle="1">
    <w:name w:val="tc"/>
    <w:basedOn w:val="749"/>
    <w:uiPriority w:val="99"/>
    <w:pPr>
      <w:pBdr/>
      <w:spacing w:after="100" w:afterAutospacing="1" w:before="100" w:beforeAutospacing="1"/>
      <w:ind/>
    </w:pPr>
    <w:rPr>
      <w:lang w:eastAsia="uk-UA"/>
    </w:rPr>
  </w:style>
  <w:style w:type="character" w:styleId="1187" w:customStyle="1">
    <w:name w:val="Знак Знак Знак Знак11"/>
    <w:pPr>
      <w:pBdr/>
      <w:spacing/>
      <w:ind/>
    </w:pPr>
    <w:rPr>
      <w:rFonts w:ascii="1251 Futuris" w:hAnsi="1251 Futuris"/>
      <w:sz w:val="24"/>
      <w:lang w:val="uk-UA" w:eastAsia="ru-RU" w:bidi="ar-SA"/>
    </w:rPr>
  </w:style>
  <w:style w:type="paragraph" w:styleId="1188" w:customStyle="1">
    <w:name w:val="Знак Знак5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189" w:customStyle="1">
    <w:name w:val="apple-converted-space"/>
    <w:pPr>
      <w:pBdr/>
      <w:spacing/>
      <w:ind/>
    </w:pPr>
  </w:style>
  <w:style w:type="paragraph" w:styleId="1190" w:customStyle="1">
    <w:name w:val="Знак Знак3 Знак Знак Знак Знак Знак Знак Знак Знак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191" w:customStyle="1">
    <w:name w:val="Body Text 2 Char"/>
    <w:pPr>
      <w:pBdr/>
      <w:spacing/>
      <w:ind/>
    </w:pPr>
    <w:rPr>
      <w:rFonts w:eastAsia="Calibri"/>
      <w:sz w:val="28"/>
      <w:lang w:val="uk-UA" w:eastAsia="uk-UA" w:bidi="ar-SA"/>
    </w:rPr>
  </w:style>
  <w:style w:type="paragraph" w:styleId="1192" w:customStyle="1">
    <w:name w:val="Знак Знак3 Знак Знак Знак Знак Знак Знак Знак Знак Знак Знак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193">
    <w:name w:val="List"/>
    <w:basedOn w:val="749"/>
    <w:uiPriority w:val="99"/>
    <w:pPr>
      <w:pBdr/>
      <w:spacing/>
      <w:ind w:hanging="283" w:left="283"/>
    </w:pPr>
    <w:rPr>
      <w:sz w:val="20"/>
      <w:szCs w:val="20"/>
      <w:lang w:eastAsia="ru-RU"/>
    </w:rPr>
  </w:style>
  <w:style w:type="paragraph" w:styleId="1194">
    <w:name w:val="List 4"/>
    <w:basedOn w:val="749"/>
    <w:uiPriority w:val="99"/>
    <w:pPr>
      <w:pBdr/>
      <w:spacing/>
      <w:ind w:hanging="283" w:left="1132"/>
    </w:pPr>
    <w:rPr>
      <w:sz w:val="20"/>
      <w:szCs w:val="20"/>
      <w:lang w:eastAsia="ru-RU"/>
    </w:rPr>
  </w:style>
  <w:style w:type="paragraph" w:styleId="1195">
    <w:name w:val="List Continue"/>
    <w:basedOn w:val="749"/>
    <w:uiPriority w:val="99"/>
    <w:pPr>
      <w:pBdr/>
      <w:spacing w:after="120"/>
      <w:ind w:left="283"/>
    </w:pPr>
    <w:rPr>
      <w:sz w:val="20"/>
      <w:szCs w:val="20"/>
      <w:lang w:eastAsia="ru-RU"/>
    </w:rPr>
  </w:style>
  <w:style w:type="paragraph" w:styleId="1196">
    <w:name w:val="Normal Indent"/>
    <w:basedOn w:val="749"/>
    <w:uiPriority w:val="99"/>
    <w:pPr>
      <w:pBdr/>
      <w:spacing/>
      <w:ind w:left="708"/>
    </w:pPr>
    <w:rPr>
      <w:sz w:val="20"/>
      <w:szCs w:val="20"/>
      <w:lang w:eastAsia="ru-RU"/>
    </w:rPr>
  </w:style>
  <w:style w:type="paragraph" w:styleId="1197" w:customStyle="1">
    <w:name w:val="Краткий обратный адрес"/>
    <w:basedOn w:val="749"/>
    <w:uiPriority w:val="99"/>
    <w:pPr>
      <w:pBdr/>
      <w:spacing/>
      <w:ind/>
    </w:pPr>
    <w:rPr>
      <w:sz w:val="20"/>
      <w:szCs w:val="20"/>
      <w:lang w:eastAsia="ru-RU"/>
    </w:rPr>
  </w:style>
  <w:style w:type="paragraph" w:styleId="1198" w:customStyle="1">
    <w:name w:val="xl24"/>
    <w:basedOn w:val="749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lang w:eastAsia="ru-RU"/>
    </w:rPr>
  </w:style>
  <w:style w:type="numbering" w:styleId="1199" w:customStyle="1">
    <w:name w:val="Нет списка1"/>
    <w:next w:val="761"/>
    <w:uiPriority w:val="99"/>
    <w:semiHidden/>
    <w:unhideWhenUsed/>
    <w:pPr>
      <w:pBdr/>
      <w:spacing/>
      <w:ind/>
    </w:pPr>
  </w:style>
  <w:style w:type="numbering" w:styleId="1200" w:customStyle="1">
    <w:name w:val="Нет списка2"/>
    <w:next w:val="761"/>
    <w:uiPriority w:val="99"/>
    <w:semiHidden/>
    <w:pPr>
      <w:pBdr/>
      <w:spacing/>
      <w:ind/>
    </w:pPr>
  </w:style>
  <w:style w:type="numbering" w:styleId="1201" w:customStyle="1">
    <w:name w:val="Нет списка3"/>
    <w:next w:val="761"/>
    <w:uiPriority w:val="99"/>
    <w:semiHidden/>
    <w:unhideWhenUsed/>
    <w:pPr>
      <w:pBdr/>
      <w:spacing/>
      <w:ind/>
    </w:pPr>
  </w:style>
  <w:style w:type="numbering" w:styleId="1202" w:customStyle="1">
    <w:name w:val="Нет списка4"/>
    <w:next w:val="761"/>
    <w:uiPriority w:val="99"/>
    <w:semiHidden/>
    <w:unhideWhenUsed/>
    <w:pPr>
      <w:pBdr/>
      <w:spacing/>
      <w:ind/>
    </w:pPr>
  </w:style>
  <w:style w:type="numbering" w:styleId="1203" w:customStyle="1">
    <w:name w:val="Нет списка11"/>
    <w:next w:val="761"/>
    <w:semiHidden/>
    <w:pPr>
      <w:pBdr/>
      <w:spacing/>
      <w:ind/>
    </w:pPr>
  </w:style>
  <w:style w:type="numbering" w:styleId="1204" w:customStyle="1">
    <w:name w:val="Нет списка111"/>
    <w:next w:val="761"/>
    <w:uiPriority w:val="99"/>
    <w:semiHidden/>
    <w:unhideWhenUsed/>
    <w:pPr>
      <w:pBdr/>
      <w:spacing/>
      <w:ind/>
    </w:pPr>
  </w:style>
  <w:style w:type="paragraph" w:styleId="1205" w:customStyle="1">
    <w:name w:val="Знак Знак10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06" w:customStyle="1">
    <w:name w:val="Знак Знак7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207" w:customStyle="1">
    <w:name w:val="short_text"/>
    <w:pPr>
      <w:pBdr/>
      <w:spacing/>
      <w:ind/>
    </w:pPr>
  </w:style>
  <w:style w:type="paragraph" w:styleId="1208" w:customStyle="1">
    <w:name w:val="xl124"/>
    <w:basedOn w:val="749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1209" w:customStyle="1">
    <w:name w:val="xl125"/>
    <w:basedOn w:val="749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1210" w:customStyle="1">
    <w:name w:val="xl126"/>
    <w:basedOn w:val="749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1211" w:customStyle="1">
    <w:name w:val="xl127"/>
    <w:basedOn w:val="749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12" w:customStyle="1">
    <w:name w:val="xl128"/>
    <w:basedOn w:val="749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13" w:customStyle="1">
    <w:name w:val="xl129"/>
    <w:basedOn w:val="749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14" w:customStyle="1">
    <w:name w:val="xl130"/>
    <w:basedOn w:val="749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15" w:customStyle="1">
    <w:name w:val="xl131"/>
    <w:basedOn w:val="749"/>
    <w:uiPriority w:val="9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16" w:customStyle="1">
    <w:name w:val="xl132"/>
    <w:basedOn w:val="749"/>
    <w:uiPriority w:val="9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17" w:customStyle="1">
    <w:name w:val="xl133"/>
    <w:basedOn w:val="749"/>
    <w:uiPriority w:val="99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18" w:customStyle="1">
    <w:name w:val="xl134"/>
    <w:basedOn w:val="749"/>
    <w:uiPriority w:val="99"/>
    <w:pPr>
      <w:pBdr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19" w:customStyle="1">
    <w:name w:val="xl135"/>
    <w:basedOn w:val="749"/>
    <w:uiPriority w:val="9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20" w:customStyle="1">
    <w:name w:val="xl136"/>
    <w:basedOn w:val="749"/>
    <w:uiPriority w:val="9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21" w:customStyle="1">
    <w:name w:val="xl137"/>
    <w:basedOn w:val="749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22" w:customStyle="1">
    <w:name w:val="xl138"/>
    <w:basedOn w:val="749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character" w:styleId="1223" w:customStyle="1">
    <w:name w:val="Font Style15"/>
    <w:pPr>
      <w:pBdr/>
      <w:spacing/>
      <w:ind/>
    </w:pPr>
    <w:rPr>
      <w:rFonts w:ascii="Cambria" w:hAnsi="Cambria" w:cs="Cambria"/>
      <w:spacing w:val="-20"/>
      <w:sz w:val="24"/>
      <w:szCs w:val="24"/>
    </w:rPr>
  </w:style>
  <w:style w:type="character" w:styleId="1224" w:customStyle="1">
    <w:name w:val="Font Style16"/>
    <w:pPr>
      <w:pBdr/>
      <w:spacing/>
      <w:ind/>
    </w:pPr>
    <w:rPr>
      <w:rFonts w:ascii="Cambria" w:hAnsi="Cambria" w:cs="Cambria"/>
      <w:i/>
      <w:iCs/>
      <w:spacing w:val="-20"/>
      <w:sz w:val="22"/>
      <w:szCs w:val="22"/>
    </w:rPr>
  </w:style>
  <w:style w:type="character" w:styleId="1225" w:customStyle="1">
    <w:name w:val="Font Style17"/>
    <w:pPr>
      <w:pBdr/>
      <w:spacing/>
      <w:ind/>
    </w:pPr>
    <w:rPr>
      <w:rFonts w:ascii="Cambria" w:hAnsi="Cambria" w:cs="Cambria"/>
      <w:i/>
      <w:iCs/>
      <w:spacing w:val="-20"/>
      <w:sz w:val="22"/>
      <w:szCs w:val="22"/>
    </w:rPr>
  </w:style>
  <w:style w:type="character" w:styleId="1226">
    <w:name w:val="line number"/>
    <w:pPr>
      <w:pBdr/>
      <w:spacing/>
      <w:ind/>
    </w:pPr>
  </w:style>
  <w:style w:type="character" w:styleId="1227" w:customStyle="1">
    <w:name w:val="Знак Знак24"/>
    <w:pPr>
      <w:pBdr/>
      <w:spacing/>
      <w:ind/>
    </w:pPr>
    <w:rPr>
      <w:sz w:val="28"/>
      <w:szCs w:val="28"/>
      <w:lang w:val="ru-RU" w:eastAsia="ru-RU" w:bidi="ar-SA"/>
    </w:rPr>
  </w:style>
  <w:style w:type="character" w:styleId="1228" w:customStyle="1">
    <w:name w:val="Знак Знак Знак Знак Знак Знак Знак Знак1"/>
    <w:pPr>
      <w:pBdr/>
      <w:spacing/>
      <w:ind/>
    </w:pPr>
    <w:rPr>
      <w:rFonts w:ascii="Verdana" w:hAnsi="Verdana" w:cs="Verdana"/>
      <w:lang w:val="en-US" w:eastAsia="en-US" w:bidi="ar-SA"/>
    </w:rPr>
  </w:style>
  <w:style w:type="paragraph" w:styleId="1229" w:customStyle="1">
    <w:name w:val="Знак Знак1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30" w:customStyle="1">
    <w:name w:val="c0"/>
    <w:basedOn w:val="749"/>
    <w:uiPriority w:val="99"/>
    <w:pPr>
      <w:pBdr/>
      <w:spacing w:after="160" w:before="20" w:line="360" w:lineRule="auto"/>
      <w:ind w:firstLine="76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1231" w:customStyle="1">
    <w:name w:val="Osnovn"/>
    <w:basedOn w:val="749"/>
    <w:uiPriority w:val="99"/>
    <w:pPr>
      <w:pBdr/>
      <w:spacing/>
      <w:ind w:firstLine="709"/>
    </w:pPr>
    <w:rPr>
      <w:sz w:val="28"/>
      <w:lang w:eastAsia="ru-RU"/>
    </w:rPr>
  </w:style>
  <w:style w:type="paragraph" w:styleId="1232" w:customStyle="1">
    <w:name w:val="Знак Знак4 Знак Знак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33" w:customStyle="1">
    <w:name w:val="Знак Знак5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34" w:customStyle="1">
    <w:name w:val="Заголовок 1 + влево"/>
    <w:basedOn w:val="751"/>
    <w:uiPriority w:val="99"/>
    <w:pPr>
      <w:pBdr>
        <w:bottom w:val="none" w:color="000000" w:sz="0" w:space="0"/>
      </w:pBdr>
      <w:spacing w:after="60" w:before="240"/>
      <w:ind w:firstLine="720"/>
      <w:jc w:val="left"/>
    </w:pPr>
    <w:rPr>
      <w:rFonts w:eastAsia="SimSun"/>
      <w:b/>
      <w:i w:val="0"/>
      <w:iCs w:val="0"/>
      <w:sz w:val="28"/>
      <w:szCs w:val="28"/>
      <w:lang w:val="uk-UA" w:eastAsia="uk-UA"/>
    </w:rPr>
  </w:style>
  <w:style w:type="paragraph" w:styleId="1235" w:customStyle="1">
    <w:name w:val="Знак Знак2 Знак Знак Знак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36" w:customStyle="1">
    <w:name w:val="Знак Знак4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37" w:customStyle="1">
    <w:name w:val="Знак Знак5 Знак Знак Знак Знак Знак Знак Знак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38" w:customStyle="1">
    <w:name w:val="Знак Знак Знак Знак Знак Знак1 Знак Знак Знак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39" w:customStyle="1">
    <w:name w:val="2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40" w:customStyle="1">
    <w:name w:val="Знак Знак3 Знак Знак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41" w:customStyle="1">
    <w:name w:val="Знак Знак3 Знак Знак Знак Знак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42" w:customStyle="1">
    <w:name w:val="Знак Знак2 Знак Знак Знак Знак Знак Знак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43" w:customStyle="1">
    <w:name w:val="Знак Знак2 Знак Знак1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44" w:customStyle="1">
    <w:name w:val="Знак Знак3 Знак Знак1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45" w:customStyle="1">
    <w:name w:val="Знак Знак3 Знак Знак Знак Знак1 Знак Знак Знак Знак Знак Знак Знак Знак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246" w:customStyle="1">
    <w:name w:val="Знак Знак16"/>
    <w:pPr>
      <w:pBdr/>
      <w:spacing/>
      <w:ind/>
    </w:pPr>
    <w:rPr>
      <w:sz w:val="24"/>
      <w:szCs w:val="24"/>
      <w:lang w:val="uk-UA" w:eastAsia="en-US" w:bidi="ar-SA"/>
    </w:rPr>
  </w:style>
  <w:style w:type="character" w:styleId="1247" w:customStyle="1">
    <w:name w:val="Знак Знак32"/>
    <w:pPr>
      <w:pBdr/>
      <w:spacing/>
      <w:ind/>
    </w:pPr>
    <w:rPr>
      <w:b/>
      <w:bCs/>
      <w:sz w:val="32"/>
      <w:szCs w:val="32"/>
      <w:lang w:val="uk-UA" w:eastAsia="ru-RU" w:bidi="ar-SA"/>
    </w:rPr>
  </w:style>
  <w:style w:type="character" w:styleId="1248" w:customStyle="1">
    <w:name w:val="Знак Знак31"/>
    <w:uiPriority w:val="99"/>
    <w:pPr>
      <w:pBdr/>
      <w:spacing/>
      <w:ind/>
    </w:pPr>
    <w:rPr>
      <w:b/>
      <w:bCs/>
      <w:sz w:val="28"/>
      <w:szCs w:val="28"/>
      <w:lang w:val="uk-UA" w:eastAsia="ru-RU" w:bidi="ar-SA"/>
    </w:rPr>
  </w:style>
  <w:style w:type="character" w:styleId="1249" w:customStyle="1">
    <w:name w:val="Знак Знак30"/>
    <w:pPr>
      <w:pBdr/>
      <w:spacing/>
      <w:ind/>
    </w:pPr>
    <w:rPr>
      <w:sz w:val="28"/>
      <w:szCs w:val="28"/>
      <w:lang w:val="uk-UA" w:eastAsia="ru-RU" w:bidi="ar-SA"/>
    </w:rPr>
  </w:style>
  <w:style w:type="character" w:styleId="1250" w:customStyle="1">
    <w:name w:val="Знак Знак29"/>
    <w:pPr>
      <w:pBdr/>
      <w:spacing/>
      <w:ind/>
    </w:pPr>
    <w:rPr>
      <w:sz w:val="24"/>
      <w:szCs w:val="24"/>
      <w:lang w:val="uk-UA" w:eastAsia="ru-RU" w:bidi="ar-SA"/>
    </w:rPr>
  </w:style>
  <w:style w:type="character" w:styleId="1251" w:customStyle="1">
    <w:name w:val="Знак Знак28"/>
    <w:pPr>
      <w:pBdr/>
      <w:spacing/>
      <w:ind/>
    </w:pPr>
    <w:rPr>
      <w:sz w:val="24"/>
      <w:szCs w:val="24"/>
      <w:lang w:val="uk-UA" w:eastAsia="ru-RU" w:bidi="ar-SA"/>
    </w:rPr>
  </w:style>
  <w:style w:type="character" w:styleId="1252" w:customStyle="1">
    <w:name w:val="Знак Знак8"/>
    <w:pPr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1253" w:customStyle="1">
    <w:name w:val="Знак Знак27"/>
    <w:pPr>
      <w:pBdr/>
      <w:spacing/>
      <w:ind/>
    </w:pPr>
    <w:rPr>
      <w:b/>
      <w:bCs/>
      <w:sz w:val="28"/>
      <w:szCs w:val="28"/>
      <w:lang w:val="uk-UA" w:eastAsia="ru-RU" w:bidi="ar-SA"/>
    </w:rPr>
  </w:style>
  <w:style w:type="character" w:styleId="1254" w:customStyle="1">
    <w:name w:val="Знак Знак26"/>
    <w:pPr>
      <w:pBdr/>
      <w:spacing/>
      <w:ind/>
    </w:pPr>
    <w:rPr>
      <w:b/>
      <w:bCs/>
      <w:sz w:val="28"/>
      <w:szCs w:val="28"/>
      <w:lang w:val="uk-UA" w:eastAsia="ru-RU" w:bidi="ar-SA"/>
    </w:rPr>
  </w:style>
  <w:style w:type="character" w:styleId="1255" w:customStyle="1">
    <w:name w:val="Знак Знак25"/>
    <w:pPr>
      <w:pBdr/>
      <w:spacing/>
      <w:ind/>
    </w:pPr>
    <w:rPr>
      <w:sz w:val="28"/>
      <w:szCs w:val="28"/>
      <w:lang w:val="uk-UA" w:eastAsia="ru-RU" w:bidi="ar-SA"/>
    </w:rPr>
  </w:style>
  <w:style w:type="character" w:styleId="1256" w:customStyle="1">
    <w:name w:val="Знак Знак22"/>
    <w:uiPriority w:val="99"/>
    <w:pPr>
      <w:pBdr/>
      <w:spacing/>
      <w:ind/>
    </w:pPr>
    <w:rPr>
      <w:lang w:val="uk-UA" w:eastAsia="ru-RU" w:bidi="ar-SA"/>
    </w:rPr>
  </w:style>
  <w:style w:type="character" w:styleId="1257" w:customStyle="1">
    <w:name w:val="Знак Знак21"/>
    <w:uiPriority w:val="99"/>
    <w:pPr>
      <w:pBdr/>
      <w:spacing/>
      <w:ind/>
    </w:pPr>
    <w:rPr>
      <w:lang w:val="uk-UA" w:eastAsia="ru-RU" w:bidi="ar-SA"/>
    </w:rPr>
  </w:style>
  <w:style w:type="character" w:styleId="1258" w:customStyle="1">
    <w:name w:val="Знак Знак18"/>
    <w:pPr>
      <w:pBdr/>
      <w:spacing/>
      <w:ind/>
    </w:pPr>
    <w:rPr>
      <w:rFonts w:ascii="Arial" w:hAnsi="Arial" w:cs="Arial"/>
      <w:b/>
      <w:bCs/>
      <w:sz w:val="32"/>
      <w:szCs w:val="32"/>
      <w:lang w:val="uk-UA" w:eastAsia="ru-RU" w:bidi="ar-SA"/>
    </w:rPr>
  </w:style>
  <w:style w:type="character" w:styleId="1259" w:customStyle="1">
    <w:name w:val="Знак Знак17"/>
    <w:pPr>
      <w:pBdr/>
      <w:spacing/>
      <w:ind/>
    </w:pPr>
    <w:rPr>
      <w:rFonts w:ascii="Arial" w:hAnsi="Arial" w:cs="Arial"/>
      <w:sz w:val="24"/>
      <w:szCs w:val="24"/>
      <w:lang w:val="uk-UA" w:eastAsia="ru-RU" w:bidi="ar-SA"/>
    </w:rPr>
  </w:style>
  <w:style w:type="character" w:styleId="1260" w:customStyle="1">
    <w:name w:val="Знак Знак12"/>
    <w:uiPriority w:val="99"/>
    <w:pPr>
      <w:pBdr/>
      <w:spacing/>
      <w:ind/>
    </w:pPr>
    <w:rPr>
      <w:sz w:val="28"/>
      <w:szCs w:val="28"/>
      <w:lang w:val="ru-RU" w:eastAsia="ru-RU" w:bidi="ar-SA"/>
    </w:rPr>
  </w:style>
  <w:style w:type="character" w:styleId="1261" w:customStyle="1">
    <w:name w:val="Знак Знак23"/>
    <w:uiPriority w:val="99"/>
    <w:pPr>
      <w:pBdr/>
      <w:spacing/>
      <w:ind/>
    </w:pPr>
    <w:rPr>
      <w:sz w:val="28"/>
      <w:szCs w:val="28"/>
      <w:lang w:val="uk-UA" w:eastAsia="ru-RU" w:bidi="ar-SA"/>
    </w:rPr>
  </w:style>
  <w:style w:type="character" w:styleId="1262" w:customStyle="1">
    <w:name w:val="Знак Знак20"/>
    <w:pPr>
      <w:pBdr/>
      <w:spacing/>
      <w:ind/>
    </w:pPr>
    <w:rPr>
      <w:sz w:val="28"/>
      <w:szCs w:val="28"/>
      <w:lang w:val="uk-UA" w:eastAsia="ru-RU" w:bidi="ar-SA"/>
    </w:rPr>
  </w:style>
  <w:style w:type="character" w:styleId="1263" w:customStyle="1">
    <w:name w:val="Знак Знак19"/>
    <w:pPr>
      <w:pBdr/>
      <w:spacing/>
      <w:ind/>
    </w:pPr>
    <w:rPr>
      <w:sz w:val="28"/>
      <w:szCs w:val="28"/>
      <w:lang w:val="uk-UA" w:eastAsia="ru-RU" w:bidi="ar-SA"/>
    </w:rPr>
  </w:style>
  <w:style w:type="character" w:styleId="1264" w:customStyle="1">
    <w:name w:val="Знак Знак13"/>
    <w:uiPriority w:val="99"/>
    <w:pPr>
      <w:pBdr/>
      <w:spacing/>
      <w:ind/>
    </w:pPr>
    <w:rPr>
      <w:rFonts w:ascii="Tahoma" w:hAnsi="Tahoma" w:cs="Tahoma"/>
      <w:lang w:val="uk-UA" w:eastAsia="uk-UA" w:bidi="ar-SA"/>
    </w:rPr>
  </w:style>
  <w:style w:type="character" w:styleId="1265" w:customStyle="1">
    <w:name w:val="Знак Знак14"/>
    <w:pPr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1266" w:customStyle="1">
    <w:name w:val="Знак Знак15"/>
    <w:pPr>
      <w:pBdr/>
      <w:spacing/>
      <w:ind/>
    </w:pPr>
    <w:rPr>
      <w:rFonts w:ascii="Tahoma" w:hAnsi="Tahoma" w:cs="Tahoma"/>
      <w:sz w:val="16"/>
      <w:szCs w:val="16"/>
      <w:lang w:val="uk-UA" w:eastAsia="ru-RU" w:bidi="ar-SA"/>
    </w:rPr>
  </w:style>
  <w:style w:type="paragraph" w:styleId="1267" w:customStyle="1">
    <w:name w:val="Список 31"/>
    <w:basedOn w:val="749"/>
    <w:uiPriority w:val="99"/>
    <w:pPr>
      <w:pBdr/>
      <w:spacing/>
      <w:ind w:hanging="283" w:left="849"/>
    </w:pPr>
    <w:rPr>
      <w:rFonts w:eastAsia="Calibri"/>
      <w:lang w:eastAsia="ar-SA"/>
    </w:rPr>
  </w:style>
  <w:style w:type="character" w:styleId="1268" w:customStyle="1">
    <w:name w:val="Основной текст_"/>
    <w:link w:val="1269"/>
    <w:pPr>
      <w:pBdr/>
      <w:spacing/>
      <w:ind/>
    </w:pPr>
    <w:rPr>
      <w:shd w:val="clear" w:color="auto" w:fill="ffffff"/>
    </w:rPr>
  </w:style>
  <w:style w:type="paragraph" w:styleId="1269" w:customStyle="1">
    <w:name w:val="Основной текст1"/>
    <w:basedOn w:val="749"/>
    <w:link w:val="1268"/>
    <w:pPr>
      <w:widowControl w:val="false"/>
      <w:pBdr/>
      <w:shd w:val="clear" w:color="auto" w:fill="ffffff"/>
      <w:spacing/>
      <w:ind w:firstLine="400"/>
    </w:pPr>
    <w:rPr>
      <w:rFonts w:asciiTheme="minorHAnsi" w:hAnsiTheme="minorHAnsi" w:eastAsiaTheme="minorHAnsi" w:cstheme="minorBidi"/>
      <w:sz w:val="22"/>
      <w:szCs w:val="22"/>
      <w:shd w:val="clear" w:color="auto" w:fill="ffffff"/>
    </w:rPr>
  </w:style>
  <w:style w:type="paragraph" w:styleId="1270" w:customStyle="1">
    <w:name w:val="Основной текст (2)"/>
    <w:basedOn w:val="749"/>
    <w:uiPriority w:val="99"/>
    <w:pPr>
      <w:widowControl w:val="false"/>
      <w:pBdr/>
      <w:shd w:val="clear" w:color="auto" w:fill="ffffff"/>
      <w:spacing/>
      <w:ind/>
    </w:pPr>
    <w:rPr>
      <w:rFonts w:ascii="Arial" w:hAnsi="Arial" w:eastAsia="Arial" w:cs="Arial"/>
      <w:i/>
      <w:iCs/>
      <w:sz w:val="20"/>
      <w:szCs w:val="20"/>
      <w:shd w:val="clear" w:color="auto" w:fill="ffffff"/>
      <w:lang w:eastAsia="uk-UA"/>
    </w:rPr>
  </w:style>
  <w:style w:type="character" w:styleId="1271" w:customStyle="1">
    <w:name w:val="Другое_"/>
    <w:link w:val="1272"/>
    <w:pPr>
      <w:pBdr/>
      <w:spacing/>
      <w:ind/>
    </w:pPr>
    <w:rPr>
      <w:shd w:val="clear" w:color="auto" w:fill="ffffff"/>
    </w:rPr>
  </w:style>
  <w:style w:type="paragraph" w:styleId="1272" w:customStyle="1">
    <w:name w:val="Другое"/>
    <w:basedOn w:val="749"/>
    <w:link w:val="1271"/>
    <w:pPr>
      <w:widowControl w:val="false"/>
      <w:pBdr/>
      <w:shd w:val="clear" w:color="auto" w:fill="ffffff"/>
      <w:spacing/>
      <w:ind w:firstLine="400"/>
    </w:pPr>
    <w:rPr>
      <w:rFonts w:asciiTheme="minorHAnsi" w:hAnsiTheme="minorHAnsi" w:eastAsiaTheme="minorHAnsi" w:cstheme="minorBidi"/>
      <w:sz w:val="22"/>
      <w:szCs w:val="22"/>
      <w:shd w:val="clear" w:color="auto" w:fill="ffffff"/>
    </w:rPr>
  </w:style>
  <w:style w:type="character" w:styleId="1273" w:customStyle="1">
    <w:name w:val="Знак Знак51"/>
    <w:pPr>
      <w:pBdr/>
      <w:spacing/>
      <w:ind/>
    </w:pPr>
    <w:rPr>
      <w:sz w:val="28"/>
      <w:szCs w:val="28"/>
      <w:lang w:val="ru-RU" w:eastAsia="en-US" w:bidi="ar-SA"/>
    </w:rPr>
  </w:style>
  <w:style w:type="character" w:styleId="1274" w:customStyle="1">
    <w:name w:val="Body Text Char"/>
    <w:uiPriority w:val="99"/>
    <w:pPr>
      <w:pBdr/>
      <w:spacing/>
      <w:ind/>
    </w:pPr>
    <w:rPr>
      <w:rFonts w:hint="default" w:ascii="Times New Roman" w:hAnsi="Times New Roman" w:cs="Times New Roman"/>
      <w:b/>
      <w:bCs w:val="0"/>
      <w:sz w:val="20"/>
      <w:szCs w:val="20"/>
      <w:lang w:val="uk-UA" w:eastAsia="uk-UA"/>
    </w:rPr>
  </w:style>
  <w:style w:type="character" w:styleId="1275" w:customStyle="1">
    <w:name w:val="postbody"/>
    <w:pPr>
      <w:pBdr/>
      <w:spacing/>
      <w:ind/>
    </w:pPr>
  </w:style>
  <w:style w:type="table" w:styleId="1276" w:customStyle="1">
    <w:name w:val="Сетка таблицы1"/>
    <w:basedOn w:val="760"/>
    <w:uiPriority w:val="9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277" w:customStyle="1">
    <w:name w:val="Знак Знак11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78" w:customStyle="1">
    <w:name w:val="Знак Знак3 Знак Знак1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79" w:customStyle="1">
    <w:name w:val="Основний текст 21"/>
    <w:basedOn w:val="749"/>
    <w:pPr>
      <w:pBdr/>
      <w:spacing/>
      <w:ind/>
      <w:jc w:val="center"/>
    </w:pPr>
    <w:rPr>
      <w:sz w:val="28"/>
      <w:szCs w:val="28"/>
      <w:lang w:val="ru-RU" w:eastAsia="uk-UA"/>
    </w:rPr>
  </w:style>
  <w:style w:type="paragraph" w:styleId="1280" w:customStyle="1">
    <w:name w:val="Знак Знак3 Знак Знак Знак Знак Знак Знак Знак Знак Знак Знак Знак Знак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281" w:customStyle="1">
    <w:name w:val="Основной текст с отступом Знак1"/>
    <w:uiPriority w:val="99"/>
    <w:pPr>
      <w:pBdr/>
      <w:spacing/>
      <w:ind/>
    </w:pPr>
    <w:rPr>
      <w:sz w:val="24"/>
      <w:szCs w:val="24"/>
      <w:lang w:eastAsia="en-US"/>
    </w:rPr>
  </w:style>
  <w:style w:type="paragraph" w:styleId="1282" w:customStyle="1">
    <w:name w:val="Базовий Times New Roman"/>
    <w:basedOn w:val="749"/>
    <w:pPr>
      <w:pBdr/>
      <w:spacing/>
      <w:ind w:firstLine="567"/>
      <w:jc w:val="both"/>
    </w:pPr>
    <w:rPr>
      <w:sz w:val="28"/>
      <w:szCs w:val="28"/>
      <w:lang w:eastAsia="uk-UA"/>
    </w:rPr>
  </w:style>
  <w:style w:type="paragraph" w:styleId="1283" w:customStyle="1">
    <w:name w:val="Preformatted Text"/>
    <w:basedOn w:val="749"/>
    <w:qFormat/>
    <w:pPr>
      <w:widowControl w:val="false"/>
      <w:pBdr/>
      <w:spacing/>
      <w:ind/>
    </w:pPr>
    <w:rPr>
      <w:rFonts w:ascii="Liberation Mono" w:hAnsi="Liberation Mono" w:eastAsia="Liberation Mono" w:cs="Liberation Mono"/>
      <w:sz w:val="20"/>
      <w:szCs w:val="20"/>
      <w:lang w:val="en-US" w:eastAsia="zh-CN" w:bidi="hi-IN"/>
    </w:rPr>
  </w:style>
  <w:style w:type="character" w:styleId="1284" w:customStyle="1">
    <w:name w:val="fix-spelling"/>
    <w:pPr>
      <w:pBdr/>
      <w:spacing/>
      <w:ind/>
    </w:pPr>
  </w:style>
  <w:style w:type="character" w:styleId="1285" w:customStyle="1">
    <w:name w:val="icon-help"/>
    <w:pPr>
      <w:pBdr/>
      <w:spacing/>
      <w:ind/>
    </w:pPr>
  </w:style>
  <w:style w:type="paragraph" w:styleId="1286" w:customStyle="1">
    <w:name w:val="Equation"/>
    <w:basedOn w:val="749"/>
    <w:next w:val="749"/>
    <w:pPr>
      <w:pBdr/>
      <w:tabs>
        <w:tab w:val="left" w:leader="none" w:pos="8902"/>
      </w:tabs>
      <w:spacing w:after="120"/>
      <w:ind w:left="284"/>
    </w:pPr>
    <w:rPr>
      <w:szCs w:val="20"/>
    </w:rPr>
  </w:style>
  <w:style w:type="paragraph" w:styleId="1287" w:customStyle="1">
    <w:name w:val="Table Body Text"/>
    <w:basedOn w:val="749"/>
    <w:pPr>
      <w:pBdr/>
      <w:spacing/>
      <w:ind/>
    </w:pPr>
    <w:rPr>
      <w:szCs w:val="20"/>
    </w:rPr>
  </w:style>
  <w:style w:type="paragraph" w:styleId="1288" w:customStyle="1">
    <w:name w:val="Знак Знак Знак Знак Знак Знак1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289" w:customStyle="1">
    <w:name w:val="Знак Знак Знак13"/>
    <w:uiPriority w:val="99"/>
    <w:pPr>
      <w:pBdr/>
      <w:spacing/>
      <w:ind/>
    </w:pPr>
    <w:rPr>
      <w:sz w:val="24"/>
      <w:szCs w:val="24"/>
      <w:lang w:val="uk-UA" w:eastAsia="ru-RU" w:bidi="ar-SA"/>
    </w:rPr>
  </w:style>
  <w:style w:type="character" w:styleId="1290" w:customStyle="1">
    <w:name w:val="Знак Знак Знак11"/>
    <w:uiPriority w:val="99"/>
    <w:pPr>
      <w:pBdr/>
      <w:spacing/>
      <w:ind/>
    </w:pPr>
    <w:rPr>
      <w:sz w:val="24"/>
      <w:szCs w:val="24"/>
      <w:lang w:val="uk-UA" w:eastAsia="ru-RU"/>
    </w:rPr>
  </w:style>
  <w:style w:type="paragraph" w:styleId="1291" w:customStyle="1">
    <w:name w:val="çàãîëîâîê 4"/>
    <w:basedOn w:val="749"/>
    <w:next w:val="749"/>
    <w:uiPriority w:val="99"/>
    <w:pPr>
      <w:keepNext w:val="true"/>
      <w:pBdr/>
      <w:spacing w:line="360" w:lineRule="auto"/>
      <w:ind/>
      <w:jc w:val="center"/>
    </w:pPr>
    <w:rPr>
      <w:sz w:val="28"/>
      <w:szCs w:val="20"/>
      <w:lang w:val="ru-RU" w:eastAsia="ru-RU"/>
    </w:rPr>
  </w:style>
  <w:style w:type="paragraph" w:styleId="1292" w:customStyle="1">
    <w:name w:val="Знак Знак Знак Знак2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93" w:customStyle="1">
    <w:name w:val="Знак Знак5 Знак Знак Знак Знак Знак Знак Знак Знак Знак Знак Знак Знак Знак Знак Знак Знак Знак Знак1 Знак Знак12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94" w:customStyle="1">
    <w:name w:val="Знак Знак Знак Знак Знак Знак1 Знак Знак Знак Знак Знак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95" w:customStyle="1">
    <w:name w:val="Знак Знак42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96" w:customStyle="1">
    <w:name w:val="Знак Знак4 Знак Знак Знак Знак Знак Знак Знак Знак Знак Знак Знак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97" w:customStyle="1">
    <w:name w:val="Знак Знак4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298" w:customStyle="1">
    <w:name w:val="Название Знак1"/>
    <w:uiPriority w:val="99"/>
    <w:pPr>
      <w:pBdr/>
      <w:spacing/>
      <w:ind/>
    </w:pPr>
    <w:rPr>
      <w:sz w:val="28"/>
      <w:lang w:val="ru-RU" w:eastAsia="ru-RU"/>
    </w:rPr>
  </w:style>
  <w:style w:type="numbering" w:styleId="1299" w:customStyle="1">
    <w:name w:val="Немає списку1"/>
    <w:next w:val="761"/>
    <w:semiHidden/>
    <w:pPr>
      <w:pBdr/>
      <w:spacing/>
      <w:ind/>
    </w:pPr>
  </w:style>
  <w:style w:type="table" w:styleId="1300" w:customStyle="1">
    <w:name w:val="Сітка таблиці1"/>
    <w:basedOn w:val="760"/>
    <w:next w:val="806"/>
    <w:pPr>
      <w:pBdr/>
      <w:spacing w:after="0" w:line="240" w:lineRule="auto"/>
      <w:ind/>
    </w:pPr>
    <w:rPr>
      <w:rFonts w:ascii="Times New Roman" w:hAnsi="Times New Roman" w:eastAsia="MS Mincho" w:cs="Times New Roman"/>
      <w:sz w:val="20"/>
      <w:szCs w:val="20"/>
      <w:lang w:eastAsia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01" w:customStyle="1">
    <w:name w:val="Знак Знак Знак Знак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02" w:customStyle="1">
    <w:name w:val="Обычный (веб) Знак"/>
    <w:link w:val="1008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303" w:customStyle="1">
    <w:name w:val="3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04" w:customStyle="1">
    <w:name w:val="Знак Знак1 Знак Знак1 Знак Знак Знак Знак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05">
    <w:name w:val="footnote reference"/>
    <w:pPr>
      <w:pBdr/>
      <w:spacing/>
      <w:ind/>
    </w:pPr>
    <w:rPr>
      <w:vertAlign w:val="superscript"/>
    </w:rPr>
  </w:style>
  <w:style w:type="paragraph" w:styleId="1306" w:customStyle="1">
    <w:name w:val="Знак Знак Знак Знак1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07" w:customStyle="1">
    <w:name w:val="Знак Знак Знак Знак Знак Знак1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08" w:customStyle="1">
    <w:name w:val="Знак Знак Знак4"/>
    <w:uiPriority w:val="99"/>
    <w:pPr>
      <w:pBdr/>
      <w:spacing/>
      <w:ind/>
    </w:pPr>
    <w:rPr>
      <w:rFonts w:cs="Times New Roman"/>
      <w:sz w:val="24"/>
      <w:szCs w:val="24"/>
      <w:lang w:val="uk-UA" w:eastAsia="ru-RU" w:bidi="ar-SA"/>
    </w:rPr>
  </w:style>
  <w:style w:type="character" w:styleId="1309" w:customStyle="1">
    <w:name w:val="Знак Знак Знак12"/>
    <w:uiPriority w:val="99"/>
    <w:pPr>
      <w:pBdr/>
      <w:spacing/>
      <w:ind/>
    </w:pPr>
    <w:rPr>
      <w:rFonts w:cs="Times New Roman"/>
      <w:sz w:val="24"/>
      <w:szCs w:val="24"/>
      <w:lang w:val="uk-UA" w:eastAsia="ru-RU" w:bidi="ar-SA"/>
    </w:rPr>
  </w:style>
  <w:style w:type="paragraph" w:styleId="1310" w:customStyle="1">
    <w:name w:val="Знак Знак5 Знак Знак Знак Знак Знак Знак Знак Знак Знак Знак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1" w:customStyle="1">
    <w:name w:val="Знак Знак5 Знак Знак Знак Знак Знак Знак Знак Знак Знак Знак Знак Знак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2" w:customStyle="1">
    <w:name w:val="Знак Знак5 Знак Знак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3" w:customStyle="1">
    <w:name w:val="Знак Знак2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4" w:customStyle="1">
    <w:name w:val="Знак Знак2 Знак Знак Знак Знак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5" w:customStyle="1">
    <w:name w:val="Знак Знак Знак Знак Знак Знак Знак Знак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6" w:customStyle="1">
    <w:name w:val="Знак Знак1 Знак Знак Знак Знак2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7" w:customStyle="1">
    <w:name w:val="Знак Знак5 Знак Знак Знак Знак Знак Знак Знак Знак Знак Знак Знак Знак Знак Знак Знак Знак Знак Знак1 Знак Знак1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8" w:customStyle="1">
    <w:name w:val="Знак Знак Знак Знак Знак Знак1 Знак Знак Знак Знак Знак Знак Знак Знак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9" w:customStyle="1">
    <w:name w:val="Знак Знак Знак Знак Знак Знак1 Знак Знак Знак Знак Знак Знак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20" w:customStyle="1">
    <w:name w:val="Знак Знак4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21" w:customStyle="1">
    <w:name w:val="Знак Знак4 Знак Знак Знак Знак Знак Знак Знак Знак Знак Знак Знак Знак Знак Знак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22" w:customStyle="1">
    <w:name w:val="Знак Знак4 Знак Знак1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23" w:customStyle="1">
    <w:name w:val="5"/>
    <w:basedOn w:val="749"/>
    <w:next w:val="1008"/>
    <w:uiPriority w:val="99"/>
    <w:pPr>
      <w:pBdr/>
      <w:spacing w:after="100" w:afterAutospacing="1" w:before="100" w:beforeAutospacing="1"/>
      <w:ind/>
    </w:pPr>
    <w:rPr>
      <w:lang w:val="ru-RU" w:eastAsia="ru-RU"/>
    </w:rPr>
  </w:style>
  <w:style w:type="paragraph" w:styleId="1324" w:customStyle="1">
    <w:name w:val="4"/>
    <w:basedOn w:val="749"/>
    <w:next w:val="783"/>
    <w:uiPriority w:val="99"/>
    <w:qFormat/>
    <w:pPr>
      <w:pBdr/>
      <w:spacing/>
      <w:ind/>
      <w:jc w:val="center"/>
    </w:pPr>
    <w:rPr>
      <w:sz w:val="28"/>
      <w:szCs w:val="20"/>
      <w:lang w:val="ru-RU" w:eastAsia="ru-RU"/>
    </w:rPr>
  </w:style>
  <w:style w:type="character" w:styleId="1325">
    <w:name w:val="Subtle Emphasis"/>
    <w:uiPriority w:val="19"/>
    <w:qFormat/>
    <w:pPr>
      <w:pBdr/>
      <w:spacing/>
      <w:ind/>
    </w:pPr>
    <w:rPr>
      <w:i/>
      <w:iCs/>
      <w:color w:val="808080"/>
    </w:rPr>
  </w:style>
  <w:style w:type="numbering" w:styleId="1326" w:customStyle="1">
    <w:name w:val="Немає списку11"/>
    <w:next w:val="761"/>
    <w:uiPriority w:val="99"/>
    <w:semiHidden/>
    <w:pPr>
      <w:pBdr/>
      <w:spacing/>
      <w:ind/>
    </w:pPr>
  </w:style>
  <w:style w:type="table" w:styleId="1327" w:customStyle="1">
    <w:name w:val="Т_11"/>
    <w:basedOn w:val="760"/>
    <w:uiPriority w:val="9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uk-UA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28" w:customStyle="1">
    <w:name w:val="Немає списку111"/>
    <w:next w:val="761"/>
    <w:semiHidden/>
    <w:pPr>
      <w:pBdr/>
      <w:spacing/>
      <w:ind/>
    </w:pPr>
  </w:style>
  <w:style w:type="table" w:styleId="1329" w:customStyle="1">
    <w:name w:val="Сітка таблиці11"/>
    <w:basedOn w:val="760"/>
    <w:next w:val="806"/>
    <w:pPr>
      <w:pBdr/>
      <w:spacing w:after="0" w:line="240" w:lineRule="auto"/>
      <w:ind/>
    </w:pPr>
    <w:rPr>
      <w:rFonts w:ascii="Times New Roman" w:hAnsi="Times New Roman" w:eastAsia="MS Mincho" w:cs="Times New Roman"/>
      <w:sz w:val="20"/>
      <w:szCs w:val="20"/>
      <w:lang w:eastAsia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30" w:customStyle="1">
    <w:name w:val="Знак Знак5 Знак Знак Знак Знак Знак Знак Знак Знак Знак Знак Знак Знак Знак Знак Знак Знак1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1" w:customStyle="1">
    <w:name w:val="Знак Знак1 Знак Знак1 Знак Знак Знак Знак Знак Знак Знак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2" w:customStyle="1">
    <w:name w:val="Знак Знак3 Знак Знак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3" w:customStyle="1">
    <w:name w:val="Знак Знак Знак Знак1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4" w:customStyle="1">
    <w:name w:val="Знак Знак4 Знак Знак1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5" w:customStyle="1">
    <w:name w:val="Знак Знак9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6" w:customStyle="1">
    <w:name w:val="Знак Знак7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7" w:customStyle="1">
    <w:name w:val="Знак Знак2 Знак Знак Знак Знак Знак Знак Знак Знак12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38">
    <w:name w:val="annotation reference"/>
    <w:uiPriority w:val="99"/>
    <w:pPr>
      <w:pBdr/>
      <w:spacing/>
      <w:ind/>
    </w:pPr>
    <w:rPr>
      <w:sz w:val="16"/>
      <w:szCs w:val="16"/>
    </w:rPr>
  </w:style>
  <w:style w:type="paragraph" w:styleId="1339">
    <w:name w:val="annotation text"/>
    <w:basedOn w:val="749"/>
    <w:link w:val="1340"/>
    <w:uiPriority w:val="99"/>
    <w:pPr>
      <w:pBdr/>
      <w:spacing/>
      <w:ind/>
    </w:pPr>
    <w:rPr>
      <w:sz w:val="20"/>
      <w:szCs w:val="20"/>
      <w:lang w:eastAsia="ru-RU"/>
    </w:rPr>
  </w:style>
  <w:style w:type="character" w:styleId="1340" w:customStyle="1">
    <w:name w:val="Текст примечания Знак"/>
    <w:basedOn w:val="759"/>
    <w:link w:val="1339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41">
    <w:name w:val="annotation subject"/>
    <w:basedOn w:val="1339"/>
    <w:next w:val="1339"/>
    <w:link w:val="1342"/>
    <w:uiPriority w:val="99"/>
    <w:pPr>
      <w:pBdr/>
      <w:spacing/>
      <w:ind/>
    </w:pPr>
    <w:rPr>
      <w:b/>
      <w:bCs/>
    </w:rPr>
  </w:style>
  <w:style w:type="character" w:styleId="1342" w:customStyle="1">
    <w:name w:val="Тема примечания Знак"/>
    <w:basedOn w:val="1340"/>
    <w:link w:val="1341"/>
    <w:uiPriority w:val="99"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343" w:customStyle="1">
    <w:name w:val="Знак Знак2 Знак Знак Знак Знак Знак Знак Знак Знак1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44">
    <w:name w:val="TOC Heading"/>
    <w:basedOn w:val="750"/>
    <w:next w:val="749"/>
    <w:uiPriority w:val="39"/>
    <w:semiHidden/>
    <w:unhideWhenUsed/>
    <w:qFormat/>
    <w:pPr>
      <w:keepLines w:val="true"/>
      <w:pBdr/>
      <w:tabs>
        <w:tab w:val="clear" w:leader="none" w:pos="1080"/>
      </w:tabs>
      <w:spacing w:before="480" w:line="276" w:lineRule="auto"/>
      <w:ind/>
      <w:jc w:val="left"/>
      <w:outlineLvl w:val="9"/>
    </w:pPr>
    <w:rPr>
      <w:rFonts w:asciiTheme="majorHAnsi" w:hAnsiTheme="majorHAnsi" w:eastAsiaTheme="majorEastAsia" w:cstheme="majorBidi"/>
      <w:b/>
      <w:bCs/>
      <w:color w:val="2e74b5" w:themeColor="accent1" w:themeShade="BF"/>
      <w:lang w:eastAsia="uk-UA"/>
    </w:rPr>
  </w:style>
  <w:style w:type="character" w:styleId="1345" w:customStyle="1">
    <w:name w:val="Основной текст 2 Знак1"/>
    <w:basedOn w:val="759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val="uk-UA" w:eastAsia="uk-UA"/>
    </w:rPr>
  </w:style>
  <w:style w:type="table" w:styleId="1346" w:customStyle="1">
    <w:name w:val="Сетка таблицы2"/>
    <w:basedOn w:val="760"/>
    <w:next w:val="806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7" w:customStyle="1">
    <w:name w:val="Сетка таблицы3"/>
    <w:basedOn w:val="760"/>
    <w:next w:val="806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8" w:customStyle="1">
    <w:name w:val="Сетка таблицы4"/>
    <w:basedOn w:val="760"/>
    <w:next w:val="806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49" w:customStyle="1">
    <w:name w:val="Нет списка5"/>
    <w:next w:val="761"/>
    <w:uiPriority w:val="99"/>
    <w:semiHidden/>
    <w:unhideWhenUsed/>
    <w:pPr>
      <w:pBdr/>
      <w:spacing/>
      <w:ind/>
    </w:pPr>
  </w:style>
  <w:style w:type="table" w:styleId="1350" w:customStyle="1">
    <w:name w:val="Сетка таблицы5"/>
    <w:basedOn w:val="760"/>
    <w:next w:val="806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1" w:customStyle="1">
    <w:name w:val="Сетка таблицы6"/>
    <w:basedOn w:val="760"/>
    <w:next w:val="806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52" w:customStyle="1">
    <w:name w:val="Нет списка6"/>
    <w:next w:val="761"/>
    <w:uiPriority w:val="99"/>
    <w:semiHidden/>
    <w:unhideWhenUsed/>
    <w:pPr>
      <w:pBdr/>
      <w:spacing/>
      <w:ind/>
    </w:pPr>
  </w:style>
  <w:style w:type="table" w:styleId="1353" w:customStyle="1">
    <w:name w:val="Сетка таблицы7"/>
    <w:basedOn w:val="760"/>
    <w:next w:val="806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54" w:customStyle="1">
    <w:name w:val="Нет списка7"/>
    <w:next w:val="761"/>
    <w:uiPriority w:val="99"/>
    <w:semiHidden/>
    <w:unhideWhenUsed/>
    <w:pPr>
      <w:pBdr/>
      <w:spacing/>
      <w:ind/>
    </w:pPr>
  </w:style>
  <w:style w:type="table" w:styleId="1355" w:customStyle="1">
    <w:name w:val="Сетка таблицы8"/>
    <w:basedOn w:val="760"/>
    <w:next w:val="806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56" w:customStyle="1">
    <w:name w:val="Нет списка8"/>
    <w:next w:val="761"/>
    <w:uiPriority w:val="99"/>
    <w:semiHidden/>
    <w:unhideWhenUsed/>
    <w:pPr>
      <w:pBdr/>
      <w:spacing/>
      <w:ind/>
    </w:pPr>
  </w:style>
  <w:style w:type="table" w:styleId="1357" w:customStyle="1">
    <w:name w:val="Сетка таблицы9"/>
    <w:basedOn w:val="760"/>
    <w:next w:val="806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58" w:customStyle="1">
    <w:name w:val="Нет списка9"/>
    <w:next w:val="761"/>
    <w:uiPriority w:val="99"/>
    <w:semiHidden/>
    <w:unhideWhenUsed/>
    <w:pPr>
      <w:pBdr/>
      <w:spacing/>
      <w:ind/>
    </w:pPr>
  </w:style>
  <w:style w:type="table" w:styleId="1359" w:customStyle="1">
    <w:name w:val="Сетка таблицы10"/>
    <w:basedOn w:val="760"/>
    <w:next w:val="806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60" w:customStyle="1">
    <w:name w:val="paragraph"/>
    <w:basedOn w:val="749"/>
    <w:pPr>
      <w:pBdr/>
      <w:spacing w:after="100" w:afterAutospacing="1" w:before="100" w:beforeAutospacing="1"/>
      <w:ind/>
    </w:pPr>
    <w:rPr>
      <w:lang w:eastAsia="uk-UA"/>
    </w:rPr>
  </w:style>
  <w:style w:type="character" w:styleId="1361" w:customStyle="1">
    <w:name w:val="normaltextrun"/>
    <w:basedOn w:val="759"/>
    <w:pPr>
      <w:pBdr/>
      <w:spacing/>
      <w:ind/>
    </w:pPr>
  </w:style>
  <w:style w:type="character" w:styleId="1362" w:customStyle="1">
    <w:name w:val="spellingerror"/>
    <w:basedOn w:val="759"/>
    <w:pPr>
      <w:pBdr/>
      <w:spacing/>
      <w:ind/>
    </w:pPr>
  </w:style>
  <w:style w:type="character" w:styleId="1363" w:customStyle="1">
    <w:name w:val="eop"/>
    <w:basedOn w:val="759"/>
    <w:pPr>
      <w:pBdr/>
      <w:spacing/>
      <w:ind/>
    </w:pPr>
  </w:style>
  <w:style w:type="character" w:styleId="1364" w:customStyle="1">
    <w:name w:val="scxw83403732"/>
    <w:basedOn w:val="759"/>
    <w:pPr>
      <w:pBdr/>
      <w:spacing/>
      <w:ind/>
    </w:pPr>
  </w:style>
  <w:style w:type="character" w:styleId="1365" w:customStyle="1">
    <w:name w:val="Без интервала Знак"/>
    <w:basedOn w:val="759"/>
    <w:link w:val="1056"/>
    <w:pPr>
      <w:pBdr/>
      <w:spacing/>
      <w:ind/>
    </w:pPr>
    <w:rPr>
      <w:rFonts w:ascii="Calibri" w:hAnsi="Calibri" w:eastAsia="Calibri" w:cs="Times New Roman"/>
      <w:lang w:val="ru-RU"/>
    </w:rPr>
  </w:style>
  <w:style w:type="character" w:styleId="1366" w:customStyle="1">
    <w:name w:val="x_tx1"/>
    <w:pPr>
      <w:pBdr/>
      <w:spacing/>
      <w:ind/>
    </w:pPr>
  </w:style>
  <w:style w:type="character" w:styleId="1367" w:customStyle="1">
    <w:name w:val="Заголовок 1 Знак1"/>
    <w:basedOn w:val="75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1368" w:customStyle="1">
    <w:name w:val="Знак Знак Знак Знак Знак Знак Знак Знак Знак Знак1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69" w:customStyle="1">
    <w:name w:val="Знак Знак3 Знак Знак Знак Знак2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70" w:customStyle="1">
    <w:name w:val="Знак Знак1 Знак Знак Знак Знак Знак Знак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71" w:customStyle="1">
    <w:name w:val="Знак Знак1 Знак Знак Знак Знак Знак Знак1"/>
    <w:basedOn w:val="74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72">
    <w:name w:val="Placeholder Text"/>
    <w:basedOn w:val="759"/>
    <w:uiPriority w:val="99"/>
    <w:semiHidden/>
    <w:pPr>
      <w:pBdr/>
      <w:spacing/>
      <w:ind/>
    </w:pPr>
    <w:rPr>
      <w:color w:val="808080"/>
    </w:rPr>
  </w:style>
  <w:style w:type="paragraph" w:styleId="1373" w:customStyle="1">
    <w:name w:val="x_msonormal"/>
    <w:basedOn w:val="749"/>
    <w:pPr>
      <w:pBdr/>
      <w:spacing/>
      <w:ind/>
    </w:pPr>
    <w:rPr>
      <w:rFonts w:ascii="Calibri" w:hAnsi="Calibri" w:cs="Calibri" w:eastAsiaTheme="minorHAnsi"/>
      <w:sz w:val="22"/>
      <w:szCs w:val="22"/>
      <w:lang w:eastAsia="uk-UA"/>
    </w:rPr>
  </w:style>
  <w:style w:type="paragraph" w:styleId="1374" w:customStyle="1">
    <w:name w:val="Основной текст 211"/>
    <w:basedOn w:val="749"/>
    <w:uiPriority w:val="99"/>
    <w:pPr>
      <w:pBdr/>
      <w:spacing/>
      <w:ind/>
    </w:pPr>
    <w:rPr>
      <w:rFonts w:ascii="1251 Futuris" w:hAnsi="1251 Futuris"/>
      <w:sz w:val="26"/>
      <w:szCs w:val="20"/>
      <w:lang w:eastAsia="uk-UA"/>
    </w:rPr>
  </w:style>
  <w:style w:type="paragraph" w:styleId="1375" w:customStyle="1">
    <w:name w:val="Знак Знак5 Знак Знак Знак Знак Знак Знак Знак Знак Знак Знак Знак Знак Знак Знак Знак Знак13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76" w:customStyle="1">
    <w:name w:val="Знак Знак5 Знак Знак Знак Знак Знак Знак Знак Знак Знак Знак Знак Знак Знак Знак Знак Знак3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77" w:customStyle="1">
    <w:name w:val="Знак Знак Знак Знак Знак Знак2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78" w:customStyle="1">
    <w:name w:val="Знак Знак92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79" w:customStyle="1">
    <w:name w:val="Знак Знак5 Знак Знак Знак Знак Знак Знак Знак Знак Знак Знак Знак Знак Знак Знак Знак Знак12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80" w:customStyle="1">
    <w:name w:val="Знак Знак10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81" w:customStyle="1">
    <w:name w:val="Знак Знак7 Знак Знак Знак Знак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82" w:customStyle="1">
    <w:name w:val="Знак Знак5 Знак Знак Знак Знак Знак Знак Знак Знак Знак Знак Знак Знак Знак Знак Знак Знак Знак Знак11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83" w:customStyle="1">
    <w:name w:val="Знак Знак5 Знак Знак Знак Знак Знак Знак Знак Знак Знак Знак Знак Знак Знак Знак2"/>
    <w:basedOn w:val="749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84" w:customStyle="1">
    <w:name w:val="xl268"/>
    <w:basedOn w:val="74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385" w:customStyle="1">
    <w:name w:val="xl269"/>
    <w:basedOn w:val="74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386" w:customStyle="1">
    <w:name w:val="xl270"/>
    <w:basedOn w:val="74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387" w:customStyle="1">
    <w:name w:val="xl271"/>
    <w:basedOn w:val="74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388" w:customStyle="1">
    <w:name w:val="xl272"/>
    <w:basedOn w:val="74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389" w:customStyle="1">
    <w:name w:val="xl273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a6a6a6"/>
      <w:lang w:eastAsia="uk-UA"/>
    </w:rPr>
  </w:style>
  <w:style w:type="paragraph" w:styleId="1390" w:customStyle="1">
    <w:name w:val="xl274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391" w:customStyle="1">
    <w:name w:val="xl275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392" w:customStyle="1">
    <w:name w:val="xl276"/>
    <w:basedOn w:val="74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393" w:customStyle="1">
    <w:name w:val="xl277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394" w:customStyle="1">
    <w:name w:val="xl278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395" w:customStyle="1">
    <w:name w:val="xl279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396" w:customStyle="1">
    <w:name w:val="xl280"/>
    <w:basedOn w:val="749"/>
    <w:pPr>
      <w:pBdr/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397" w:customStyle="1">
    <w:name w:val="xl281"/>
    <w:basedOn w:val="74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398" w:customStyle="1">
    <w:name w:val="xl282"/>
    <w:basedOn w:val="74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character" w:styleId="1399" w:customStyle="1">
    <w:name w:val="Знак Знак4"/>
    <w:pPr>
      <w:pBdr/>
      <w:spacing/>
      <w:ind/>
    </w:pPr>
    <w:rPr>
      <w:rFonts w:hint="default" w:ascii="1251 Futuris" w:hAnsi="1251 Futuris"/>
      <w:sz w:val="24"/>
      <w:lang w:val="uk-UA" w:eastAsia="ru-RU" w:bidi="ar-SA"/>
    </w:rPr>
  </w:style>
  <w:style w:type="character" w:styleId="1400" w:customStyle="1">
    <w:name w:val="Знак Знак Знак15"/>
    <w:pPr>
      <w:pBdr/>
      <w:spacing/>
      <w:ind/>
    </w:pPr>
    <w:rPr>
      <w:rFonts w:hint="default" w:ascii="1251 Futuris" w:hAnsi="1251 Futuris"/>
      <w:sz w:val="24"/>
      <w:lang w:val="uk-UA" w:eastAsia="ru-RU" w:bidi="ar-SA"/>
    </w:rPr>
  </w:style>
  <w:style w:type="character" w:styleId="1401" w:customStyle="1">
    <w:name w:val="Знак Знак Знак Знак3"/>
    <w:uiPriority w:val="99"/>
    <w:pPr>
      <w:pBdr/>
      <w:spacing/>
      <w:ind/>
    </w:pPr>
    <w:rPr>
      <w:sz w:val="26"/>
      <w:lang w:val="ru-RU" w:eastAsia="uk-UA" w:bidi="ar-SA"/>
    </w:rPr>
  </w:style>
  <w:style w:type="character" w:styleId="1402" w:customStyle="1">
    <w:name w:val="Знак Знак Знак14"/>
    <w:basedOn w:val="759"/>
    <w:pPr>
      <w:pBdr/>
      <w:spacing/>
      <w:ind/>
    </w:pPr>
    <w:rPr>
      <w:rFonts w:hint="default" w:ascii="1251 Futuris" w:hAnsi="1251 Futuris"/>
      <w:sz w:val="24"/>
      <w:lang w:val="uk-UA" w:eastAsia="ru-RU" w:bidi="ar-SA"/>
    </w:rPr>
  </w:style>
  <w:style w:type="character" w:styleId="1403" w:customStyle="1">
    <w:name w:val="Знак Знак61"/>
    <w:pPr>
      <w:pBdr/>
      <w:spacing/>
      <w:ind/>
    </w:pPr>
    <w:rPr>
      <w:sz w:val="28"/>
      <w:szCs w:val="28"/>
      <w:lang w:val="uk-UA" w:eastAsia="uk-UA" w:bidi="ar-SA"/>
    </w:rPr>
  </w:style>
  <w:style w:type="character" w:styleId="1404" w:customStyle="1">
    <w:name w:val="Знак Знак Знак21"/>
    <w:basedOn w:val="759"/>
    <w:uiPriority w:val="99"/>
    <w:pPr>
      <w:pBdr/>
      <w:spacing/>
      <w:ind/>
    </w:pPr>
    <w:rPr>
      <w:b/>
      <w:bCs w:val="0"/>
      <w:sz w:val="28"/>
      <w:lang w:val="uk-UA" w:eastAsia="uk-UA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hyperlink" Target="mailto:Vitalii.Bulantsov@Ukrnafta.com" TargetMode="External"/><Relationship Id="rId14" Type="http://schemas.openxmlformats.org/officeDocument/2006/relationships/hyperlink" Target="mailto:oleksandr.palianytsia@ukrnafta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PJSC Ukrnafta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Zavalko, Iryna</dc:creator>
  <cp:keywords/>
  <dc:description/>
  <cp:lastModifiedBy>Anonymous</cp:lastModifiedBy>
  <cp:revision>12</cp:revision>
  <dcterms:created xsi:type="dcterms:W3CDTF">2024-05-28T11:06:00Z</dcterms:created>
  <dcterms:modified xsi:type="dcterms:W3CDTF">2024-11-18T13:07:17Z</dcterms:modified>
</cp:coreProperties>
</file>